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C1CB" w14:textId="2D0E2CBE" w:rsidR="00A25520" w:rsidRPr="00A0243B" w:rsidRDefault="004827C2">
      <w:pPr>
        <w:rPr>
          <w:lang w:val="en-GB"/>
        </w:rPr>
      </w:pPr>
      <w:r w:rsidRPr="00A0243B">
        <w:rPr>
          <w:noProof/>
          <w:lang w:val="en-SG" w:eastAsia="en-SG"/>
        </w:rPr>
        <w:drawing>
          <wp:anchor distT="0" distB="0" distL="114300" distR="114300" simplePos="0" relativeHeight="251658240" behindDoc="0" locked="0" layoutInCell="1" allowOverlap="1" wp14:anchorId="2951AFB6" wp14:editId="0D671464">
            <wp:simplePos x="0" y="0"/>
            <wp:positionH relativeFrom="margin">
              <wp:posOffset>2337435</wp:posOffset>
            </wp:positionH>
            <wp:positionV relativeFrom="margin">
              <wp:posOffset>-609186</wp:posOffset>
            </wp:positionV>
            <wp:extent cx="3197860" cy="1235710"/>
            <wp:effectExtent l="0" t="0" r="2540" b="0"/>
            <wp:wrapTight wrapText="bothSides">
              <wp:wrapPolygon edited="0">
                <wp:start x="0" y="0"/>
                <wp:lineTo x="0" y="21311"/>
                <wp:lineTo x="21531" y="2131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jpg"/>
                    <pic:cNvPicPr/>
                  </pic:nvPicPr>
                  <pic:blipFill>
                    <a:blip r:embed="rId7">
                      <a:extLst>
                        <a:ext uri="{28A0092B-C50C-407E-A947-70E740481C1C}">
                          <a14:useLocalDpi xmlns:a14="http://schemas.microsoft.com/office/drawing/2010/main" val="0"/>
                        </a:ext>
                      </a:extLst>
                    </a:blip>
                    <a:stretch>
                      <a:fillRect/>
                    </a:stretch>
                  </pic:blipFill>
                  <pic:spPr>
                    <a:xfrm>
                      <a:off x="0" y="0"/>
                      <a:ext cx="3197860" cy="1235710"/>
                    </a:xfrm>
                    <a:prstGeom prst="rect">
                      <a:avLst/>
                    </a:prstGeom>
                  </pic:spPr>
                </pic:pic>
              </a:graphicData>
            </a:graphic>
            <wp14:sizeRelH relativeFrom="margin">
              <wp14:pctWidth>0</wp14:pctWidth>
            </wp14:sizeRelH>
            <wp14:sizeRelV relativeFrom="margin">
              <wp14:pctHeight>0</wp14:pctHeight>
            </wp14:sizeRelV>
          </wp:anchor>
        </w:drawing>
      </w:r>
      <w:r w:rsidR="000F52D8">
        <w:rPr>
          <w:noProof/>
          <w:lang w:val="en-SG" w:eastAsia="en-SG"/>
        </w:rPr>
        <w:drawing>
          <wp:anchor distT="0" distB="0" distL="114300" distR="114300" simplePos="0" relativeHeight="251659264" behindDoc="1" locked="0" layoutInCell="1" allowOverlap="1" wp14:anchorId="7D74CE31" wp14:editId="13D73A2F">
            <wp:simplePos x="0" y="0"/>
            <wp:positionH relativeFrom="margin">
              <wp:posOffset>0</wp:posOffset>
            </wp:positionH>
            <wp:positionV relativeFrom="margin">
              <wp:posOffset>-703359</wp:posOffset>
            </wp:positionV>
            <wp:extent cx="1738800" cy="1432800"/>
            <wp:effectExtent l="0" t="0" r="1270" b="2540"/>
            <wp:wrapTight wrapText="bothSides">
              <wp:wrapPolygon edited="0">
                <wp:start x="0" y="0"/>
                <wp:lineTo x="0" y="21447"/>
                <wp:lineTo x="21458" y="21447"/>
                <wp:lineTo x="21458"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1738800" cy="1432800"/>
                    </a:xfrm>
                    <a:prstGeom prst="rect">
                      <a:avLst/>
                    </a:prstGeom>
                  </pic:spPr>
                </pic:pic>
              </a:graphicData>
            </a:graphic>
            <wp14:sizeRelH relativeFrom="margin">
              <wp14:pctWidth>0</wp14:pctWidth>
            </wp14:sizeRelH>
            <wp14:sizeRelV relativeFrom="margin">
              <wp14:pctHeight>0</wp14:pctHeight>
            </wp14:sizeRelV>
          </wp:anchor>
        </w:drawing>
      </w:r>
    </w:p>
    <w:p w14:paraId="2D2D9DE6" w14:textId="77777777" w:rsidR="00A0243B" w:rsidRPr="00A0243B" w:rsidRDefault="00A0243B">
      <w:pPr>
        <w:rPr>
          <w:rFonts w:ascii="Verdana" w:hAnsi="Verdana"/>
          <w:b/>
          <w:sz w:val="22"/>
          <w:szCs w:val="22"/>
          <w:highlight w:val="yellow"/>
          <w:lang w:val="en-GB"/>
        </w:rPr>
      </w:pPr>
    </w:p>
    <w:p w14:paraId="0EEB5445" w14:textId="77777777" w:rsidR="000F52D8" w:rsidRDefault="000F52D8">
      <w:pPr>
        <w:rPr>
          <w:rFonts w:ascii="Verdana" w:hAnsi="Verdana"/>
          <w:b/>
          <w:sz w:val="22"/>
          <w:szCs w:val="22"/>
          <w:highlight w:val="yellow"/>
          <w:lang w:val="en-GB"/>
        </w:rPr>
      </w:pPr>
    </w:p>
    <w:p w14:paraId="013A9457" w14:textId="77777777" w:rsidR="000F52D8" w:rsidRDefault="000F52D8">
      <w:pPr>
        <w:rPr>
          <w:rFonts w:ascii="Verdana" w:hAnsi="Verdana"/>
          <w:b/>
          <w:sz w:val="22"/>
          <w:szCs w:val="22"/>
          <w:highlight w:val="yellow"/>
          <w:lang w:val="en-GB"/>
        </w:rPr>
      </w:pPr>
    </w:p>
    <w:p w14:paraId="672FDA82" w14:textId="77777777" w:rsidR="000F52D8" w:rsidRDefault="000F52D8">
      <w:pPr>
        <w:rPr>
          <w:rFonts w:ascii="Verdana" w:hAnsi="Verdana"/>
          <w:b/>
          <w:sz w:val="22"/>
          <w:szCs w:val="22"/>
          <w:highlight w:val="yellow"/>
          <w:lang w:val="en-GB"/>
        </w:rPr>
      </w:pPr>
    </w:p>
    <w:p w14:paraId="4F797504" w14:textId="60428372" w:rsidR="00983253" w:rsidRPr="00A0243B" w:rsidRDefault="00DD1819">
      <w:pPr>
        <w:rPr>
          <w:rFonts w:ascii="Verdana" w:hAnsi="Verdana"/>
          <w:b/>
          <w:sz w:val="22"/>
          <w:szCs w:val="22"/>
          <w:lang w:val="en-GB"/>
        </w:rPr>
      </w:pPr>
      <w:r w:rsidRPr="00DD1819">
        <w:rPr>
          <w:rFonts w:ascii="Verdana" w:hAnsi="Verdana"/>
          <w:b/>
          <w:sz w:val="22"/>
          <w:szCs w:val="22"/>
          <w:lang w:val="en-GB"/>
        </w:rPr>
        <w:t>30</w:t>
      </w:r>
      <w:r w:rsidR="0021528C" w:rsidRPr="00DD1819">
        <w:rPr>
          <w:rFonts w:ascii="Verdana" w:hAnsi="Verdana"/>
          <w:b/>
          <w:sz w:val="22"/>
          <w:szCs w:val="22"/>
          <w:lang w:val="en-GB"/>
        </w:rPr>
        <w:t xml:space="preserve"> </w:t>
      </w:r>
      <w:r w:rsidRPr="00DD1819">
        <w:rPr>
          <w:rFonts w:ascii="Verdana" w:hAnsi="Verdana"/>
          <w:b/>
          <w:sz w:val="22"/>
          <w:szCs w:val="22"/>
          <w:lang w:val="en-GB"/>
        </w:rPr>
        <w:t>November</w:t>
      </w:r>
      <w:r w:rsidR="0021528C" w:rsidRPr="00DD1819">
        <w:rPr>
          <w:rFonts w:ascii="Verdana" w:hAnsi="Verdana"/>
          <w:b/>
          <w:sz w:val="22"/>
          <w:szCs w:val="22"/>
          <w:lang w:val="en-GB"/>
        </w:rPr>
        <w:t xml:space="preserve"> 20</w:t>
      </w:r>
      <w:r w:rsidR="00AC6D69" w:rsidRPr="00DD1819">
        <w:rPr>
          <w:rFonts w:ascii="Verdana" w:hAnsi="Verdana"/>
          <w:b/>
          <w:sz w:val="22"/>
          <w:szCs w:val="22"/>
          <w:lang w:val="en-GB"/>
        </w:rPr>
        <w:t>20</w:t>
      </w:r>
    </w:p>
    <w:p w14:paraId="4776841C" w14:textId="77777777" w:rsidR="00A0243B" w:rsidRPr="00A0243B" w:rsidRDefault="00A0243B">
      <w:pPr>
        <w:rPr>
          <w:rFonts w:ascii="Verdana" w:hAnsi="Verdana"/>
          <w:b/>
          <w:sz w:val="22"/>
          <w:szCs w:val="22"/>
          <w:lang w:val="en-GB"/>
        </w:rPr>
      </w:pPr>
    </w:p>
    <w:p w14:paraId="4D82539F" w14:textId="77777777" w:rsidR="00983253" w:rsidRPr="00A0243B" w:rsidRDefault="00983253" w:rsidP="00D14A1E">
      <w:pPr>
        <w:jc w:val="center"/>
        <w:rPr>
          <w:rFonts w:ascii="Verdana" w:hAnsi="Verdana"/>
          <w:b/>
          <w:sz w:val="22"/>
          <w:szCs w:val="22"/>
          <w:lang w:val="en-GB"/>
        </w:rPr>
      </w:pPr>
      <w:r w:rsidRPr="00A0243B">
        <w:rPr>
          <w:rFonts w:ascii="Verdana" w:hAnsi="Verdana"/>
          <w:b/>
          <w:sz w:val="22"/>
          <w:szCs w:val="22"/>
          <w:lang w:val="en-GB"/>
        </w:rPr>
        <w:t>PRESS RELEASE</w:t>
      </w:r>
    </w:p>
    <w:p w14:paraId="1BCED44E" w14:textId="77777777" w:rsidR="00983253" w:rsidRPr="00A0243B" w:rsidRDefault="00983253" w:rsidP="00983253">
      <w:pPr>
        <w:jc w:val="center"/>
        <w:rPr>
          <w:rFonts w:ascii="Verdana" w:hAnsi="Verdana"/>
          <w:b/>
          <w:sz w:val="22"/>
          <w:szCs w:val="22"/>
          <w:lang w:val="en-GB"/>
        </w:rPr>
      </w:pPr>
    </w:p>
    <w:p w14:paraId="47B35070" w14:textId="3F3312C7" w:rsidR="00983253" w:rsidRPr="00513740" w:rsidRDefault="00231C4A" w:rsidP="00513740">
      <w:pPr>
        <w:jc w:val="center"/>
        <w:rPr>
          <w:rFonts w:ascii="Verdana" w:hAnsi="Verdana"/>
          <w:b/>
          <w:lang w:val="en-GB"/>
        </w:rPr>
      </w:pPr>
      <w:r>
        <w:rPr>
          <w:rFonts w:ascii="Verdana" w:hAnsi="Verdana"/>
          <w:b/>
          <w:lang w:val="en-GB"/>
        </w:rPr>
        <w:t xml:space="preserve">‘A blueprint for success’ – </w:t>
      </w:r>
      <w:r w:rsidR="002C44D8">
        <w:rPr>
          <w:rFonts w:ascii="Verdana" w:hAnsi="Verdana"/>
          <w:b/>
          <w:lang w:val="en-GB"/>
        </w:rPr>
        <w:t xml:space="preserve">Public-private co-operation </w:t>
      </w:r>
      <w:r>
        <w:rPr>
          <w:rFonts w:ascii="Verdana" w:hAnsi="Verdana"/>
          <w:b/>
          <w:lang w:val="en-GB"/>
        </w:rPr>
        <w:br/>
      </w:r>
      <w:r w:rsidR="003C40A0">
        <w:rPr>
          <w:rFonts w:ascii="Verdana" w:hAnsi="Verdana"/>
          <w:b/>
          <w:lang w:val="en-GB"/>
        </w:rPr>
        <w:t>helps</w:t>
      </w:r>
      <w:r w:rsidR="002C44D8">
        <w:rPr>
          <w:rFonts w:ascii="Verdana" w:hAnsi="Verdana"/>
          <w:b/>
          <w:lang w:val="en-GB"/>
        </w:rPr>
        <w:t xml:space="preserve"> ASEAN</w:t>
      </w:r>
      <w:r w:rsidR="00196DD8" w:rsidRPr="00A0243B">
        <w:rPr>
          <w:rFonts w:ascii="Verdana" w:hAnsi="Verdana"/>
          <w:b/>
          <w:lang w:val="en-GB"/>
        </w:rPr>
        <w:t xml:space="preserve"> </w:t>
      </w:r>
      <w:r w:rsidR="003C40A0">
        <w:rPr>
          <w:rFonts w:ascii="Verdana" w:hAnsi="Verdana"/>
          <w:b/>
          <w:lang w:val="en-GB"/>
        </w:rPr>
        <w:t>on the road</w:t>
      </w:r>
      <w:r w:rsidR="002C44D8">
        <w:rPr>
          <w:rFonts w:ascii="Verdana" w:hAnsi="Verdana"/>
          <w:b/>
          <w:lang w:val="en-GB"/>
        </w:rPr>
        <w:t xml:space="preserve"> </w:t>
      </w:r>
      <w:r w:rsidR="00196DD8" w:rsidRPr="00A0243B">
        <w:rPr>
          <w:rFonts w:ascii="Verdana" w:hAnsi="Verdana"/>
          <w:b/>
          <w:lang w:val="en-GB"/>
        </w:rPr>
        <w:t>to</w:t>
      </w:r>
      <w:r w:rsidR="002C44D8">
        <w:rPr>
          <w:rFonts w:ascii="Verdana" w:hAnsi="Verdana"/>
          <w:b/>
          <w:lang w:val="en-GB"/>
        </w:rPr>
        <w:t xml:space="preserve"> </w:t>
      </w:r>
      <w:r w:rsidR="00196DD8" w:rsidRPr="00A0243B">
        <w:rPr>
          <w:rFonts w:ascii="Verdana" w:hAnsi="Verdana"/>
          <w:b/>
          <w:lang w:val="en-GB"/>
        </w:rPr>
        <w:t>harmoni</w:t>
      </w:r>
      <w:r w:rsidR="00D94EED">
        <w:rPr>
          <w:rFonts w:ascii="Verdana" w:hAnsi="Verdana"/>
          <w:b/>
          <w:lang w:val="en-GB"/>
        </w:rPr>
        <w:t>s</w:t>
      </w:r>
      <w:r w:rsidR="00196DD8" w:rsidRPr="00A0243B">
        <w:rPr>
          <w:rFonts w:ascii="Verdana" w:hAnsi="Verdana"/>
          <w:b/>
          <w:lang w:val="en-GB"/>
        </w:rPr>
        <w:t xml:space="preserve">ation </w:t>
      </w:r>
    </w:p>
    <w:p w14:paraId="3E1DEDED" w14:textId="77777777" w:rsidR="00787045" w:rsidRDefault="00787045" w:rsidP="007B7846">
      <w:pPr>
        <w:autoSpaceDE w:val="0"/>
        <w:autoSpaceDN w:val="0"/>
        <w:adjustRightInd w:val="0"/>
        <w:rPr>
          <w:rFonts w:ascii="Verdana" w:hAnsi="Verdana"/>
          <w:sz w:val="22"/>
          <w:szCs w:val="22"/>
          <w:lang w:val="en-GB"/>
        </w:rPr>
      </w:pPr>
    </w:p>
    <w:p w14:paraId="155178DE" w14:textId="7C707F68" w:rsidR="002C44D8" w:rsidRDefault="00171CCC" w:rsidP="002C44D8">
      <w:pPr>
        <w:autoSpaceDE w:val="0"/>
        <w:autoSpaceDN w:val="0"/>
        <w:adjustRightInd w:val="0"/>
        <w:rPr>
          <w:rFonts w:ascii="Verdana" w:hAnsi="Verdana"/>
          <w:sz w:val="22"/>
          <w:szCs w:val="22"/>
          <w:lang w:val="en-GB"/>
        </w:rPr>
      </w:pPr>
      <w:r>
        <w:rPr>
          <w:rFonts w:ascii="Verdana" w:hAnsi="Verdana"/>
          <w:sz w:val="22"/>
          <w:szCs w:val="22"/>
          <w:lang w:val="en-GB"/>
        </w:rPr>
        <w:t xml:space="preserve">A new report </w:t>
      </w:r>
      <w:r w:rsidR="002C44D8">
        <w:rPr>
          <w:rFonts w:ascii="Verdana" w:hAnsi="Verdana"/>
          <w:sz w:val="22"/>
          <w:szCs w:val="22"/>
          <w:lang w:val="en-GB"/>
        </w:rPr>
        <w:t xml:space="preserve">has </w:t>
      </w:r>
      <w:r>
        <w:rPr>
          <w:rFonts w:ascii="Verdana" w:hAnsi="Verdana"/>
          <w:sz w:val="22"/>
          <w:szCs w:val="22"/>
          <w:lang w:val="en-GB"/>
        </w:rPr>
        <w:t>highlight</w:t>
      </w:r>
      <w:r w:rsidR="002C44D8">
        <w:rPr>
          <w:rFonts w:ascii="Verdana" w:hAnsi="Verdana"/>
          <w:sz w:val="22"/>
          <w:szCs w:val="22"/>
          <w:lang w:val="en-GB"/>
        </w:rPr>
        <w:t>ed</w:t>
      </w:r>
      <w:r>
        <w:rPr>
          <w:rFonts w:ascii="Verdana" w:hAnsi="Verdana"/>
          <w:sz w:val="22"/>
          <w:szCs w:val="22"/>
          <w:lang w:val="en-GB"/>
        </w:rPr>
        <w:t xml:space="preserve"> </w:t>
      </w:r>
      <w:r w:rsidR="002C44D8">
        <w:rPr>
          <w:rFonts w:ascii="Verdana" w:hAnsi="Verdana"/>
          <w:sz w:val="22"/>
          <w:szCs w:val="22"/>
          <w:lang w:val="en-GB"/>
        </w:rPr>
        <w:t xml:space="preserve">how </w:t>
      </w:r>
      <w:r w:rsidR="00787045">
        <w:rPr>
          <w:rFonts w:ascii="Verdana" w:hAnsi="Verdana"/>
          <w:sz w:val="22"/>
          <w:szCs w:val="22"/>
          <w:lang w:val="en-GB"/>
        </w:rPr>
        <w:t>unprecedented levels of co-operation between</w:t>
      </w:r>
      <w:r>
        <w:rPr>
          <w:rFonts w:ascii="Verdana" w:hAnsi="Verdana"/>
          <w:sz w:val="22"/>
          <w:szCs w:val="22"/>
          <w:lang w:val="en-GB"/>
        </w:rPr>
        <w:t xml:space="preserve"> industry </w:t>
      </w:r>
      <w:r w:rsidR="00787045">
        <w:rPr>
          <w:rFonts w:ascii="Verdana" w:hAnsi="Verdana"/>
          <w:sz w:val="22"/>
          <w:szCs w:val="22"/>
          <w:lang w:val="en-GB"/>
        </w:rPr>
        <w:t xml:space="preserve">and government </w:t>
      </w:r>
      <w:r w:rsidR="002C44D8">
        <w:rPr>
          <w:rFonts w:ascii="Verdana" w:hAnsi="Verdana"/>
          <w:sz w:val="22"/>
          <w:szCs w:val="22"/>
          <w:lang w:val="en-GB"/>
        </w:rPr>
        <w:t xml:space="preserve">have helped ASEAN </w:t>
      </w:r>
      <w:r w:rsidR="00231C4A">
        <w:rPr>
          <w:rFonts w:ascii="Verdana" w:hAnsi="Verdana"/>
          <w:sz w:val="22"/>
          <w:szCs w:val="22"/>
          <w:lang w:val="en-GB"/>
        </w:rPr>
        <w:t xml:space="preserve">to </w:t>
      </w:r>
      <w:r w:rsidR="002C44D8">
        <w:rPr>
          <w:rFonts w:ascii="Verdana" w:hAnsi="Verdana"/>
          <w:sz w:val="22"/>
          <w:szCs w:val="22"/>
          <w:lang w:val="en-GB"/>
        </w:rPr>
        <w:t xml:space="preserve">develop an agreement to </w:t>
      </w:r>
      <w:r w:rsidR="002C44D8" w:rsidRPr="00A0243B">
        <w:rPr>
          <w:rFonts w:ascii="Verdana" w:hAnsi="Verdana"/>
          <w:sz w:val="22"/>
          <w:szCs w:val="22"/>
          <w:lang w:val="en-GB"/>
        </w:rPr>
        <w:t>harmoni</w:t>
      </w:r>
      <w:r w:rsidR="002C44D8">
        <w:rPr>
          <w:rFonts w:ascii="Verdana" w:hAnsi="Verdana"/>
          <w:sz w:val="22"/>
          <w:szCs w:val="22"/>
          <w:lang w:val="en-GB"/>
        </w:rPr>
        <w:t>se</w:t>
      </w:r>
      <w:r w:rsidR="002C44D8" w:rsidRPr="00A0243B">
        <w:rPr>
          <w:rFonts w:ascii="Verdana" w:hAnsi="Verdana"/>
          <w:sz w:val="22"/>
          <w:szCs w:val="22"/>
          <w:lang w:val="en-GB"/>
        </w:rPr>
        <w:t xml:space="preserve"> the cross-border regulation of health supplements</w:t>
      </w:r>
      <w:r w:rsidR="002C44D8">
        <w:rPr>
          <w:rFonts w:ascii="Verdana" w:hAnsi="Verdana"/>
          <w:sz w:val="22"/>
          <w:szCs w:val="22"/>
          <w:lang w:val="en-GB"/>
        </w:rPr>
        <w:t>.</w:t>
      </w:r>
    </w:p>
    <w:p w14:paraId="19370FDD" w14:textId="7196A627" w:rsidR="002C44D8" w:rsidRDefault="002C44D8" w:rsidP="00787045">
      <w:pPr>
        <w:autoSpaceDE w:val="0"/>
        <w:autoSpaceDN w:val="0"/>
        <w:adjustRightInd w:val="0"/>
        <w:rPr>
          <w:rFonts w:ascii="Verdana" w:hAnsi="Verdana"/>
          <w:sz w:val="22"/>
          <w:szCs w:val="22"/>
          <w:lang w:val="en-GB"/>
        </w:rPr>
      </w:pPr>
    </w:p>
    <w:p w14:paraId="555BF018" w14:textId="0F211BA1" w:rsidR="00BE3A62" w:rsidRDefault="002C44D8" w:rsidP="00BE3A62">
      <w:pPr>
        <w:autoSpaceDE w:val="0"/>
        <w:autoSpaceDN w:val="0"/>
        <w:adjustRightInd w:val="0"/>
        <w:rPr>
          <w:rFonts w:ascii="Verdana" w:hAnsi="Verdana" w:cs="Times New Roman"/>
          <w:sz w:val="22"/>
          <w:szCs w:val="22"/>
          <w:lang w:val="en-GB"/>
        </w:rPr>
      </w:pPr>
      <w:r>
        <w:rPr>
          <w:rFonts w:ascii="Verdana" w:hAnsi="Verdana"/>
          <w:sz w:val="22"/>
          <w:szCs w:val="22"/>
          <w:lang w:val="en-GB"/>
        </w:rPr>
        <w:t xml:space="preserve">After 16 years of complex discussions, </w:t>
      </w:r>
      <w:r w:rsidR="0039409A" w:rsidRPr="00A0243B">
        <w:rPr>
          <w:rFonts w:ascii="Verdana" w:hAnsi="Verdana"/>
          <w:sz w:val="22"/>
          <w:szCs w:val="22"/>
          <w:lang w:val="en-GB"/>
        </w:rPr>
        <w:t xml:space="preserve">ASEAN’s 10 Member States </w:t>
      </w:r>
      <w:r w:rsidR="00171CCC">
        <w:rPr>
          <w:rFonts w:ascii="Verdana" w:hAnsi="Verdana"/>
          <w:sz w:val="22"/>
          <w:szCs w:val="22"/>
          <w:lang w:val="en-GB"/>
        </w:rPr>
        <w:t xml:space="preserve">are </w:t>
      </w:r>
      <w:r>
        <w:rPr>
          <w:rFonts w:ascii="Verdana" w:hAnsi="Verdana"/>
          <w:sz w:val="22"/>
          <w:szCs w:val="22"/>
          <w:lang w:val="en-GB"/>
        </w:rPr>
        <w:t xml:space="preserve">now </w:t>
      </w:r>
      <w:proofErr w:type="gramStart"/>
      <w:r w:rsidR="005210D4">
        <w:rPr>
          <w:rFonts w:ascii="Verdana" w:hAnsi="Verdana"/>
          <w:sz w:val="22"/>
          <w:szCs w:val="22"/>
          <w:lang w:val="en-GB"/>
        </w:rPr>
        <w:t>close</w:t>
      </w:r>
      <w:proofErr w:type="gramEnd"/>
      <w:r w:rsidR="00787045">
        <w:rPr>
          <w:rFonts w:ascii="Verdana" w:hAnsi="Verdana"/>
          <w:sz w:val="22"/>
          <w:szCs w:val="22"/>
          <w:lang w:val="en-GB"/>
        </w:rPr>
        <w:t xml:space="preserve"> </w:t>
      </w:r>
      <w:r w:rsidR="00171CCC">
        <w:rPr>
          <w:rFonts w:ascii="Verdana" w:hAnsi="Verdana"/>
          <w:sz w:val="22"/>
          <w:szCs w:val="22"/>
          <w:lang w:val="en-GB"/>
        </w:rPr>
        <w:t>to</w:t>
      </w:r>
      <w:r w:rsidR="0039409A" w:rsidRPr="00A0243B">
        <w:rPr>
          <w:rFonts w:ascii="Verdana" w:hAnsi="Verdana"/>
          <w:sz w:val="22"/>
          <w:szCs w:val="22"/>
          <w:lang w:val="en-GB"/>
        </w:rPr>
        <w:t xml:space="preserve"> </w:t>
      </w:r>
      <w:r w:rsidR="0039409A">
        <w:rPr>
          <w:rFonts w:ascii="Verdana" w:hAnsi="Verdana"/>
          <w:sz w:val="22"/>
          <w:szCs w:val="22"/>
          <w:lang w:val="en-GB"/>
        </w:rPr>
        <w:t>finalising</w:t>
      </w:r>
      <w:r>
        <w:rPr>
          <w:rFonts w:ascii="Verdana" w:hAnsi="Verdana" w:cs="Times New Roman"/>
          <w:sz w:val="22"/>
          <w:szCs w:val="22"/>
          <w:lang w:val="en-GB"/>
        </w:rPr>
        <w:t xml:space="preserve"> t</w:t>
      </w:r>
      <w:r w:rsidR="00425727" w:rsidRPr="00A0243B">
        <w:rPr>
          <w:rFonts w:ascii="Verdana" w:hAnsi="Verdana" w:cs="Times New Roman"/>
          <w:sz w:val="22"/>
          <w:szCs w:val="22"/>
          <w:lang w:val="en-GB"/>
        </w:rPr>
        <w:t>he</w:t>
      </w:r>
      <w:r w:rsidR="004827C2">
        <w:rPr>
          <w:rFonts w:ascii="Verdana" w:hAnsi="Verdana" w:cs="Times New Roman"/>
          <w:sz w:val="22"/>
          <w:szCs w:val="22"/>
          <w:lang w:val="en-GB"/>
        </w:rPr>
        <w:t xml:space="preserve"> </w:t>
      </w:r>
      <w:r w:rsidR="00425727" w:rsidRPr="00A0243B">
        <w:rPr>
          <w:rFonts w:ascii="Verdana" w:hAnsi="Verdana" w:cs="Times New Roman"/>
          <w:sz w:val="22"/>
          <w:szCs w:val="22"/>
          <w:lang w:val="en-GB"/>
        </w:rPr>
        <w:t>ASEAN Agreement on Regulatory Framework for Health Supplement</w:t>
      </w:r>
      <w:r>
        <w:rPr>
          <w:rFonts w:ascii="Verdana" w:hAnsi="Verdana" w:cs="Times New Roman"/>
          <w:sz w:val="22"/>
          <w:szCs w:val="22"/>
          <w:lang w:val="en-GB"/>
        </w:rPr>
        <w:t xml:space="preserve">s. </w:t>
      </w:r>
      <w:r w:rsidR="00AC3879">
        <w:rPr>
          <w:rFonts w:ascii="Verdana" w:hAnsi="Verdana"/>
          <w:sz w:val="22"/>
          <w:szCs w:val="22"/>
          <w:lang w:val="en-GB"/>
        </w:rPr>
        <w:t>O</w:t>
      </w:r>
      <w:r w:rsidR="0039409A">
        <w:rPr>
          <w:rFonts w:ascii="Verdana" w:hAnsi="Verdana"/>
          <w:sz w:val="22"/>
          <w:szCs w:val="22"/>
          <w:lang w:val="en-GB"/>
        </w:rPr>
        <w:t xml:space="preserve">nce </w:t>
      </w:r>
      <w:r w:rsidR="005210D4">
        <w:rPr>
          <w:rFonts w:ascii="Verdana" w:hAnsi="Verdana"/>
          <w:sz w:val="22"/>
          <w:szCs w:val="22"/>
          <w:lang w:val="en-GB"/>
        </w:rPr>
        <w:t>ratified</w:t>
      </w:r>
      <w:r w:rsidR="0039409A">
        <w:rPr>
          <w:rFonts w:ascii="Verdana" w:hAnsi="Verdana"/>
          <w:sz w:val="22"/>
          <w:szCs w:val="22"/>
          <w:lang w:val="en-GB"/>
        </w:rPr>
        <w:t xml:space="preserve">, </w:t>
      </w:r>
      <w:r w:rsidR="00AC3879">
        <w:rPr>
          <w:rFonts w:ascii="Verdana" w:hAnsi="Verdana"/>
          <w:sz w:val="22"/>
          <w:szCs w:val="22"/>
          <w:lang w:val="en-GB"/>
        </w:rPr>
        <w:t xml:space="preserve">it will </w:t>
      </w:r>
      <w:r w:rsidR="00AC3879" w:rsidRPr="00A0243B">
        <w:rPr>
          <w:rFonts w:ascii="Verdana" w:hAnsi="Verdana" w:cs="Times New Roman"/>
          <w:sz w:val="22"/>
          <w:szCs w:val="22"/>
          <w:lang w:val="en-GB"/>
        </w:rPr>
        <w:t xml:space="preserve">reduce non-tariff technical barriers to the trade in supplements </w:t>
      </w:r>
      <w:r w:rsidR="00AC3879">
        <w:rPr>
          <w:rFonts w:ascii="Verdana" w:hAnsi="Verdana" w:cs="Times New Roman"/>
          <w:sz w:val="22"/>
          <w:szCs w:val="22"/>
          <w:lang w:val="en-GB"/>
        </w:rPr>
        <w:t>between ASEAN countries and usher</w:t>
      </w:r>
      <w:r w:rsidR="00AC3879" w:rsidRPr="00A0243B">
        <w:rPr>
          <w:rFonts w:ascii="Verdana" w:hAnsi="Verdana" w:cs="Times New Roman"/>
          <w:sz w:val="22"/>
          <w:szCs w:val="22"/>
          <w:lang w:val="en-GB"/>
        </w:rPr>
        <w:t xml:space="preserve"> in a new era for the supplement sector in Southeast Asia</w:t>
      </w:r>
      <w:r w:rsidR="00AC3879">
        <w:rPr>
          <w:rFonts w:ascii="Verdana" w:hAnsi="Verdana" w:cs="Times New Roman"/>
          <w:sz w:val="22"/>
          <w:szCs w:val="22"/>
          <w:lang w:val="en-GB"/>
        </w:rPr>
        <w:t>.</w:t>
      </w:r>
    </w:p>
    <w:p w14:paraId="02A8E9CA" w14:textId="251DABDF" w:rsidR="00AC3879" w:rsidRDefault="00AC3879" w:rsidP="00BE3A62">
      <w:pPr>
        <w:autoSpaceDE w:val="0"/>
        <w:autoSpaceDN w:val="0"/>
        <w:adjustRightInd w:val="0"/>
        <w:rPr>
          <w:rFonts w:ascii="Verdana" w:hAnsi="Verdana" w:cs="Times New Roman"/>
          <w:sz w:val="22"/>
          <w:szCs w:val="22"/>
          <w:lang w:val="en-GB"/>
        </w:rPr>
      </w:pPr>
    </w:p>
    <w:p w14:paraId="7E575A69" w14:textId="1E1D2DAF" w:rsidR="00AC3879" w:rsidRDefault="00171CCC" w:rsidP="005210D4">
      <w:pPr>
        <w:autoSpaceDE w:val="0"/>
        <w:autoSpaceDN w:val="0"/>
        <w:adjustRightInd w:val="0"/>
        <w:rPr>
          <w:rFonts w:ascii="Verdana" w:hAnsi="Verdana" w:cs="Times New Roman"/>
          <w:sz w:val="22"/>
          <w:szCs w:val="22"/>
          <w:lang w:val="en-GB"/>
        </w:rPr>
      </w:pPr>
      <w:r>
        <w:rPr>
          <w:rFonts w:ascii="Verdana" w:hAnsi="Verdana" w:cs="Times New Roman"/>
          <w:sz w:val="22"/>
          <w:szCs w:val="22"/>
          <w:lang w:val="en-GB"/>
        </w:rPr>
        <w:t xml:space="preserve">The </w:t>
      </w:r>
      <w:r w:rsidR="00AC3879">
        <w:rPr>
          <w:rFonts w:ascii="Verdana" w:hAnsi="Verdana" w:cs="Times New Roman"/>
          <w:sz w:val="22"/>
          <w:szCs w:val="22"/>
          <w:lang w:val="en-GB"/>
        </w:rPr>
        <w:t xml:space="preserve">report </w:t>
      </w:r>
      <w:r w:rsidRPr="005210D4">
        <w:rPr>
          <w:rFonts w:ascii="Verdana" w:hAnsi="Verdana" w:cs="Times New Roman"/>
          <w:sz w:val="22"/>
          <w:szCs w:val="22"/>
          <w:lang w:val="en-GB"/>
        </w:rPr>
        <w:t xml:space="preserve">– </w:t>
      </w:r>
      <w:r w:rsidR="005210D4" w:rsidRPr="005210D4">
        <w:rPr>
          <w:rFonts w:ascii="Verdana" w:hAnsi="Verdana" w:cs="Times New Roman"/>
          <w:i/>
          <w:iCs/>
          <w:sz w:val="22"/>
          <w:szCs w:val="22"/>
          <w:lang w:val="en-GB"/>
        </w:rPr>
        <w:t>ASEAN’S Road to Harmonisation</w:t>
      </w:r>
      <w:r w:rsidR="005210D4">
        <w:rPr>
          <w:rFonts w:ascii="Verdana" w:hAnsi="Verdana" w:cs="Times New Roman"/>
          <w:sz w:val="22"/>
          <w:szCs w:val="22"/>
          <w:lang w:val="en-GB"/>
        </w:rPr>
        <w:t xml:space="preserve"> – </w:t>
      </w:r>
      <w:r w:rsidR="002C44D8">
        <w:rPr>
          <w:rFonts w:ascii="Verdana" w:hAnsi="Verdana" w:cs="Times New Roman"/>
          <w:sz w:val="22"/>
          <w:szCs w:val="22"/>
          <w:lang w:val="en-GB"/>
        </w:rPr>
        <w:t>explains</w:t>
      </w:r>
      <w:r w:rsidR="00AC3879" w:rsidRPr="005210D4">
        <w:rPr>
          <w:rFonts w:ascii="Verdana" w:hAnsi="Verdana" w:cs="Times New Roman"/>
          <w:sz w:val="22"/>
          <w:szCs w:val="22"/>
          <w:lang w:val="en-GB"/>
        </w:rPr>
        <w:t xml:space="preserve"> the background to the agreement and</w:t>
      </w:r>
      <w:r w:rsidR="005210D4">
        <w:rPr>
          <w:rFonts w:ascii="Verdana" w:hAnsi="Verdana" w:cs="Times New Roman"/>
          <w:sz w:val="22"/>
          <w:szCs w:val="22"/>
          <w:lang w:val="en-GB"/>
        </w:rPr>
        <w:t xml:space="preserve"> </w:t>
      </w:r>
      <w:r w:rsidR="00AC3879" w:rsidRPr="005210D4">
        <w:rPr>
          <w:rFonts w:ascii="Verdana" w:hAnsi="Verdana" w:cs="Times New Roman"/>
          <w:sz w:val="22"/>
          <w:szCs w:val="22"/>
          <w:lang w:val="en-GB"/>
        </w:rPr>
        <w:t xml:space="preserve">reveals how industry </w:t>
      </w:r>
      <w:r w:rsidR="00787045" w:rsidRPr="005210D4">
        <w:rPr>
          <w:rFonts w:ascii="Verdana" w:hAnsi="Verdana" w:cs="Times New Roman"/>
          <w:sz w:val="22"/>
          <w:szCs w:val="22"/>
          <w:lang w:val="en-GB"/>
        </w:rPr>
        <w:t>associations</w:t>
      </w:r>
      <w:r w:rsidR="00AC3879" w:rsidRPr="005210D4">
        <w:rPr>
          <w:rFonts w:ascii="Verdana" w:hAnsi="Verdana" w:cs="Times New Roman"/>
          <w:sz w:val="22"/>
          <w:szCs w:val="22"/>
          <w:lang w:val="en-GB"/>
        </w:rPr>
        <w:t xml:space="preserve"> </w:t>
      </w:r>
      <w:r w:rsidR="00AC3879">
        <w:rPr>
          <w:rFonts w:ascii="Verdana" w:hAnsi="Verdana" w:cs="Times New Roman"/>
          <w:sz w:val="22"/>
          <w:szCs w:val="22"/>
          <w:lang w:val="en-GB"/>
        </w:rPr>
        <w:t>and regulators worked closely toge</w:t>
      </w:r>
      <w:r w:rsidR="00787045">
        <w:rPr>
          <w:rFonts w:ascii="Verdana" w:hAnsi="Verdana" w:cs="Times New Roman"/>
          <w:sz w:val="22"/>
          <w:szCs w:val="22"/>
          <w:lang w:val="en-GB"/>
        </w:rPr>
        <w:t>t</w:t>
      </w:r>
      <w:r w:rsidR="00AC3879">
        <w:rPr>
          <w:rFonts w:ascii="Verdana" w:hAnsi="Verdana" w:cs="Times New Roman"/>
          <w:sz w:val="22"/>
          <w:szCs w:val="22"/>
          <w:lang w:val="en-GB"/>
        </w:rPr>
        <w:t>her</w:t>
      </w:r>
      <w:r w:rsidR="002C44D8">
        <w:rPr>
          <w:rFonts w:ascii="Verdana" w:hAnsi="Verdana" w:cs="Times New Roman"/>
          <w:sz w:val="22"/>
          <w:szCs w:val="22"/>
          <w:lang w:val="en-GB"/>
        </w:rPr>
        <w:t xml:space="preserve"> on the details</w:t>
      </w:r>
      <w:r w:rsidR="00787045">
        <w:rPr>
          <w:rFonts w:ascii="Verdana" w:hAnsi="Verdana" w:cs="Times New Roman"/>
          <w:sz w:val="22"/>
          <w:szCs w:val="22"/>
          <w:lang w:val="en-GB"/>
        </w:rPr>
        <w:t xml:space="preserve">. </w:t>
      </w:r>
      <w:r w:rsidR="005210D4">
        <w:rPr>
          <w:rFonts w:ascii="Verdana" w:hAnsi="Verdana" w:cs="Times New Roman"/>
          <w:sz w:val="22"/>
          <w:szCs w:val="22"/>
          <w:lang w:val="en-GB"/>
        </w:rPr>
        <w:t xml:space="preserve">It </w:t>
      </w:r>
      <w:r w:rsidR="002C44D8">
        <w:rPr>
          <w:rFonts w:ascii="Verdana" w:hAnsi="Verdana" w:cs="Times New Roman"/>
          <w:sz w:val="22"/>
          <w:szCs w:val="22"/>
          <w:lang w:val="en-GB"/>
        </w:rPr>
        <w:t>has been</w:t>
      </w:r>
      <w:r w:rsidR="005210D4">
        <w:rPr>
          <w:rFonts w:ascii="Verdana" w:hAnsi="Verdana" w:cs="Times New Roman"/>
          <w:sz w:val="22"/>
          <w:szCs w:val="22"/>
          <w:lang w:val="en-GB"/>
        </w:rPr>
        <w:t xml:space="preserve"> published</w:t>
      </w:r>
      <w:r w:rsidR="00787045">
        <w:rPr>
          <w:rFonts w:ascii="Verdana" w:hAnsi="Verdana" w:cs="Times New Roman"/>
          <w:sz w:val="22"/>
          <w:szCs w:val="22"/>
          <w:lang w:val="en-GB"/>
        </w:rPr>
        <w:t xml:space="preserve"> </w:t>
      </w:r>
      <w:r w:rsidR="005210D4">
        <w:rPr>
          <w:rFonts w:ascii="Verdana" w:hAnsi="Verdana" w:cs="Times New Roman"/>
          <w:sz w:val="22"/>
          <w:szCs w:val="22"/>
          <w:lang w:val="en-GB"/>
        </w:rPr>
        <w:t xml:space="preserve">by </w:t>
      </w:r>
      <w:r w:rsidR="005210D4" w:rsidRPr="00A0243B">
        <w:rPr>
          <w:rFonts w:ascii="Verdana" w:hAnsi="Verdana"/>
          <w:sz w:val="22"/>
          <w:szCs w:val="22"/>
          <w:lang w:val="en-GB"/>
        </w:rPr>
        <w:t>the ASEAN Alliance of Health Supplement Associations (</w:t>
      </w:r>
      <w:r w:rsidR="005210D4" w:rsidRPr="00A0243B">
        <w:rPr>
          <w:rFonts w:ascii="Verdana" w:hAnsi="Verdana" w:cs="Times New Roman"/>
          <w:sz w:val="22"/>
          <w:szCs w:val="22"/>
          <w:lang w:val="en-GB"/>
        </w:rPr>
        <w:t>AAHSA)</w:t>
      </w:r>
      <w:r w:rsidR="005210D4">
        <w:rPr>
          <w:rFonts w:ascii="Verdana" w:hAnsi="Verdana" w:cs="Times New Roman"/>
          <w:sz w:val="22"/>
          <w:szCs w:val="22"/>
          <w:lang w:val="en-GB"/>
        </w:rPr>
        <w:t xml:space="preserve"> and the</w:t>
      </w:r>
      <w:r w:rsidR="005210D4" w:rsidRPr="00A0243B">
        <w:rPr>
          <w:rFonts w:ascii="Verdana" w:hAnsi="Verdana" w:cs="Times New Roman"/>
          <w:sz w:val="22"/>
          <w:szCs w:val="22"/>
          <w:lang w:val="en-GB"/>
        </w:rPr>
        <w:t xml:space="preserve"> </w:t>
      </w:r>
      <w:r w:rsidR="005210D4" w:rsidRPr="00A0243B">
        <w:rPr>
          <w:rFonts w:ascii="Verdana" w:hAnsi="Verdana"/>
          <w:sz w:val="22"/>
          <w:szCs w:val="22"/>
          <w:lang w:val="en-GB"/>
        </w:rPr>
        <w:t>International Alliance of Dietary/Food Supplement Associations (</w:t>
      </w:r>
      <w:r w:rsidR="005210D4" w:rsidRPr="00A0243B">
        <w:rPr>
          <w:rFonts w:ascii="Verdana" w:hAnsi="Verdana" w:cs="Times New Roman"/>
          <w:sz w:val="22"/>
          <w:szCs w:val="22"/>
          <w:lang w:val="en-GB"/>
        </w:rPr>
        <w:t>IADSA)</w:t>
      </w:r>
      <w:r w:rsidR="005210D4">
        <w:rPr>
          <w:rFonts w:ascii="Verdana" w:hAnsi="Verdana" w:cs="Times New Roman"/>
          <w:sz w:val="22"/>
          <w:szCs w:val="22"/>
          <w:lang w:val="en-GB"/>
        </w:rPr>
        <w:t>.</w:t>
      </w:r>
    </w:p>
    <w:p w14:paraId="1BC7A72D" w14:textId="55651B8C" w:rsidR="00513740" w:rsidRDefault="00513740" w:rsidP="005210D4">
      <w:pPr>
        <w:autoSpaceDE w:val="0"/>
        <w:autoSpaceDN w:val="0"/>
        <w:adjustRightInd w:val="0"/>
        <w:rPr>
          <w:rFonts w:ascii="Verdana" w:hAnsi="Verdana" w:cs="Times New Roman"/>
          <w:sz w:val="22"/>
          <w:szCs w:val="22"/>
          <w:lang w:val="en-GB"/>
        </w:rPr>
      </w:pPr>
    </w:p>
    <w:p w14:paraId="6D2EB37C" w14:textId="7973ABDC" w:rsidR="00513740" w:rsidRDefault="00513740" w:rsidP="00513740">
      <w:pPr>
        <w:autoSpaceDE w:val="0"/>
        <w:autoSpaceDN w:val="0"/>
        <w:adjustRightInd w:val="0"/>
        <w:rPr>
          <w:rFonts w:ascii="Verdana" w:hAnsi="Verdana" w:cs="Times New Roman"/>
          <w:sz w:val="22"/>
          <w:szCs w:val="22"/>
          <w:lang w:val="en-GB"/>
        </w:rPr>
      </w:pPr>
      <w:r>
        <w:rPr>
          <w:rFonts w:ascii="Verdana" w:hAnsi="Verdana"/>
          <w:sz w:val="22"/>
          <w:szCs w:val="22"/>
          <w:lang w:val="en-GB"/>
        </w:rPr>
        <w:t>The decision to harmonise was originally taken in 2004. Early on in the development of</w:t>
      </w:r>
      <w:r w:rsidRPr="00A0243B">
        <w:rPr>
          <w:rFonts w:ascii="Verdana" w:hAnsi="Verdana"/>
          <w:sz w:val="22"/>
          <w:szCs w:val="22"/>
          <w:lang w:val="en-GB"/>
        </w:rPr>
        <w:t xml:space="preserve"> the agreement</w:t>
      </w:r>
      <w:r>
        <w:rPr>
          <w:rFonts w:ascii="Verdana" w:hAnsi="Verdana"/>
          <w:sz w:val="22"/>
          <w:szCs w:val="22"/>
          <w:lang w:val="en-GB"/>
        </w:rPr>
        <w:t xml:space="preserve">, </w:t>
      </w:r>
      <w:r w:rsidRPr="00A0243B">
        <w:rPr>
          <w:rFonts w:ascii="Verdana" w:hAnsi="Verdana"/>
          <w:sz w:val="22"/>
          <w:szCs w:val="22"/>
          <w:lang w:val="en-GB"/>
        </w:rPr>
        <w:t xml:space="preserve">the </w:t>
      </w:r>
      <w:r>
        <w:rPr>
          <w:rFonts w:ascii="Verdana" w:hAnsi="Verdana"/>
          <w:sz w:val="22"/>
          <w:szCs w:val="22"/>
          <w:lang w:val="en-GB"/>
        </w:rPr>
        <w:t xml:space="preserve">supplement </w:t>
      </w:r>
      <w:r w:rsidRPr="00A0243B">
        <w:rPr>
          <w:rFonts w:ascii="Verdana" w:hAnsi="Verdana"/>
          <w:sz w:val="22"/>
          <w:szCs w:val="22"/>
          <w:lang w:val="en-GB"/>
        </w:rPr>
        <w:t xml:space="preserve">sector was invited to </w:t>
      </w:r>
      <w:r>
        <w:rPr>
          <w:rFonts w:ascii="Verdana" w:hAnsi="Verdana"/>
          <w:sz w:val="22"/>
          <w:szCs w:val="22"/>
          <w:lang w:val="en-GB"/>
        </w:rPr>
        <w:t>contribute</w:t>
      </w:r>
      <w:r w:rsidRPr="00A0243B">
        <w:rPr>
          <w:rFonts w:ascii="Verdana" w:hAnsi="Verdana"/>
          <w:sz w:val="22"/>
          <w:szCs w:val="22"/>
          <w:lang w:val="en-GB"/>
        </w:rPr>
        <w:t xml:space="preserve"> expert scientific input. In response, </w:t>
      </w:r>
      <w:r>
        <w:rPr>
          <w:rFonts w:ascii="Verdana" w:hAnsi="Verdana"/>
          <w:sz w:val="22"/>
          <w:szCs w:val="22"/>
          <w:lang w:val="en-GB"/>
        </w:rPr>
        <w:t xml:space="preserve">in 2006, industry </w:t>
      </w:r>
      <w:r w:rsidRPr="00A0243B">
        <w:rPr>
          <w:rFonts w:ascii="Verdana" w:hAnsi="Verdana"/>
          <w:sz w:val="22"/>
          <w:szCs w:val="22"/>
          <w:lang w:val="en-GB"/>
        </w:rPr>
        <w:t xml:space="preserve">groups across ASEAN formed </w:t>
      </w:r>
      <w:r w:rsidRPr="00A0243B">
        <w:rPr>
          <w:rFonts w:ascii="Verdana" w:hAnsi="Verdana" w:cs="Times New Roman"/>
          <w:sz w:val="22"/>
          <w:szCs w:val="22"/>
          <w:lang w:val="en-GB"/>
        </w:rPr>
        <w:t xml:space="preserve">AAHSA to act as a united voice during the harmonisation process. </w:t>
      </w:r>
      <w:r w:rsidR="005154BF">
        <w:rPr>
          <w:rFonts w:ascii="Verdana" w:hAnsi="Verdana" w:cs="Times New Roman"/>
          <w:sz w:val="22"/>
          <w:szCs w:val="22"/>
          <w:lang w:val="en-GB"/>
        </w:rPr>
        <w:t xml:space="preserve">Reflecting its positive contribution, </w:t>
      </w:r>
      <w:r w:rsidRPr="00A0243B">
        <w:rPr>
          <w:rFonts w:ascii="Verdana" w:hAnsi="Verdana" w:cs="Times New Roman"/>
          <w:sz w:val="22"/>
          <w:szCs w:val="22"/>
          <w:lang w:val="en-GB"/>
        </w:rPr>
        <w:t xml:space="preserve">AAHSA is </w:t>
      </w:r>
      <w:r w:rsidR="005154BF">
        <w:rPr>
          <w:rFonts w:ascii="Verdana" w:hAnsi="Verdana" w:cs="Times New Roman"/>
          <w:sz w:val="22"/>
          <w:szCs w:val="22"/>
          <w:lang w:val="en-GB"/>
        </w:rPr>
        <w:t xml:space="preserve">an accredited Business Organisation officially </w:t>
      </w:r>
      <w:r w:rsidR="0083758A">
        <w:rPr>
          <w:rFonts w:ascii="Verdana" w:hAnsi="Verdana" w:cs="Times New Roman"/>
          <w:sz w:val="22"/>
          <w:szCs w:val="22"/>
          <w:lang w:val="en-GB"/>
        </w:rPr>
        <w:t>listed</w:t>
      </w:r>
      <w:r w:rsidR="005154BF">
        <w:rPr>
          <w:rFonts w:ascii="Verdana" w:hAnsi="Verdana" w:cs="Times New Roman"/>
          <w:sz w:val="22"/>
          <w:szCs w:val="22"/>
          <w:lang w:val="en-GB"/>
        </w:rPr>
        <w:t xml:space="preserve"> as an ‘Entity Associated with </w:t>
      </w:r>
      <w:r w:rsidR="00FB1D38">
        <w:rPr>
          <w:rFonts w:ascii="Verdana" w:hAnsi="Verdana" w:cs="Times New Roman"/>
          <w:sz w:val="22"/>
          <w:szCs w:val="22"/>
          <w:lang w:val="en-GB"/>
        </w:rPr>
        <w:t>ASEAN</w:t>
      </w:r>
      <w:r w:rsidR="005154BF">
        <w:rPr>
          <w:rFonts w:ascii="Verdana" w:hAnsi="Verdana" w:cs="Times New Roman"/>
          <w:sz w:val="22"/>
          <w:szCs w:val="22"/>
          <w:lang w:val="en-GB"/>
        </w:rPr>
        <w:t>’.</w:t>
      </w:r>
    </w:p>
    <w:p w14:paraId="64966AFB" w14:textId="77777777" w:rsidR="00513740" w:rsidRDefault="00513740" w:rsidP="00513740">
      <w:pPr>
        <w:autoSpaceDE w:val="0"/>
        <w:autoSpaceDN w:val="0"/>
        <w:adjustRightInd w:val="0"/>
        <w:rPr>
          <w:rFonts w:ascii="Verdana" w:hAnsi="Verdana" w:cs="Times New Roman"/>
          <w:sz w:val="22"/>
          <w:szCs w:val="22"/>
          <w:lang w:val="en-GB"/>
        </w:rPr>
      </w:pPr>
    </w:p>
    <w:p w14:paraId="18E37046" w14:textId="0CC79C4C" w:rsidR="00513740" w:rsidRPr="00A0243B" w:rsidRDefault="00E02B45" w:rsidP="00513740">
      <w:pPr>
        <w:autoSpaceDE w:val="0"/>
        <w:autoSpaceDN w:val="0"/>
        <w:adjustRightInd w:val="0"/>
        <w:rPr>
          <w:rFonts w:ascii="Verdana" w:hAnsi="Verdana" w:cs="Times New Roman"/>
          <w:sz w:val="22"/>
          <w:szCs w:val="22"/>
          <w:lang w:val="en-GB"/>
        </w:rPr>
      </w:pPr>
      <w:r w:rsidRPr="00A0243B">
        <w:rPr>
          <w:rFonts w:ascii="Verdana" w:hAnsi="Verdana" w:cs="Times New Roman"/>
          <w:sz w:val="22"/>
          <w:szCs w:val="22"/>
          <w:lang w:val="en-GB"/>
        </w:rPr>
        <w:t>Daniel Quek</w:t>
      </w:r>
      <w:r w:rsidR="00513740">
        <w:rPr>
          <w:rFonts w:ascii="Verdana" w:hAnsi="Verdana" w:cs="Times New Roman"/>
          <w:sz w:val="22"/>
          <w:szCs w:val="22"/>
          <w:lang w:val="en-GB"/>
        </w:rPr>
        <w:t xml:space="preserve">, </w:t>
      </w:r>
      <w:r w:rsidR="00513740" w:rsidRPr="00A0243B">
        <w:rPr>
          <w:rFonts w:ascii="Verdana" w:hAnsi="Verdana" w:cs="Times New Roman"/>
          <w:sz w:val="22"/>
          <w:szCs w:val="22"/>
          <w:lang w:val="en-GB"/>
        </w:rPr>
        <w:t>AAHSA Chairman</w:t>
      </w:r>
      <w:r w:rsidR="00513740">
        <w:rPr>
          <w:rFonts w:ascii="Verdana" w:hAnsi="Verdana" w:cs="Times New Roman"/>
          <w:sz w:val="22"/>
          <w:szCs w:val="22"/>
          <w:lang w:val="en-GB"/>
        </w:rPr>
        <w:t>,</w:t>
      </w:r>
      <w:r w:rsidRPr="00A0243B">
        <w:rPr>
          <w:rFonts w:ascii="Verdana" w:hAnsi="Verdana" w:cs="Times New Roman"/>
          <w:sz w:val="22"/>
          <w:szCs w:val="22"/>
          <w:lang w:val="en-GB"/>
        </w:rPr>
        <w:t xml:space="preserve"> said</w:t>
      </w:r>
      <w:r>
        <w:rPr>
          <w:rFonts w:ascii="Verdana" w:hAnsi="Verdana" w:cs="Times New Roman"/>
          <w:sz w:val="22"/>
          <w:szCs w:val="22"/>
          <w:lang w:val="en-GB"/>
        </w:rPr>
        <w:t>: “</w:t>
      </w:r>
      <w:r w:rsidR="00231C4A">
        <w:rPr>
          <w:rFonts w:ascii="Verdana" w:hAnsi="Verdana" w:cs="Times New Roman"/>
          <w:sz w:val="22"/>
          <w:szCs w:val="22"/>
          <w:lang w:val="en-GB"/>
        </w:rPr>
        <w:t xml:space="preserve">The way in which industry and regulators have worked together in ASEAN can act as a blueprint for success throughout the world. </w:t>
      </w:r>
      <w:r w:rsidR="00513740" w:rsidRPr="00A0243B">
        <w:rPr>
          <w:rFonts w:ascii="Verdana" w:hAnsi="Verdana" w:cs="Times New Roman"/>
          <w:sz w:val="22"/>
          <w:szCs w:val="22"/>
          <w:lang w:val="en-GB"/>
        </w:rPr>
        <w:t>Through AAHSA, the private sector has been able to demonstrate its commitment to achieving the same aims as government. I</w:t>
      </w:r>
      <w:r w:rsidR="00363B84">
        <w:rPr>
          <w:rFonts w:ascii="Verdana" w:hAnsi="Verdana" w:cs="Times New Roman"/>
          <w:sz w:val="22"/>
          <w:szCs w:val="22"/>
          <w:lang w:val="en-GB"/>
        </w:rPr>
        <w:t>n particular, i</w:t>
      </w:r>
      <w:r w:rsidR="00513740" w:rsidRPr="00A0243B">
        <w:rPr>
          <w:rFonts w:ascii="Verdana" w:hAnsi="Verdana" w:cs="Times New Roman"/>
          <w:sz w:val="22"/>
          <w:szCs w:val="22"/>
          <w:lang w:val="en-GB"/>
        </w:rPr>
        <w:t>t played a</w:t>
      </w:r>
      <w:r w:rsidR="00513740">
        <w:rPr>
          <w:rFonts w:ascii="Verdana" w:hAnsi="Verdana" w:cs="Times New Roman"/>
          <w:sz w:val="22"/>
          <w:szCs w:val="22"/>
          <w:lang w:val="en-GB"/>
        </w:rPr>
        <w:t xml:space="preserve">n important </w:t>
      </w:r>
      <w:r w:rsidR="00513740" w:rsidRPr="00A0243B">
        <w:rPr>
          <w:rFonts w:ascii="Verdana" w:hAnsi="Verdana" w:cs="Times New Roman"/>
          <w:sz w:val="22"/>
          <w:szCs w:val="22"/>
          <w:lang w:val="en-GB"/>
        </w:rPr>
        <w:t xml:space="preserve">role in </w:t>
      </w:r>
      <w:r w:rsidR="00363B84">
        <w:rPr>
          <w:rFonts w:ascii="Verdana" w:hAnsi="Verdana" w:cs="Times New Roman"/>
          <w:sz w:val="22"/>
          <w:szCs w:val="22"/>
          <w:lang w:val="en-GB"/>
        </w:rPr>
        <w:t>developing</w:t>
      </w:r>
      <w:r w:rsidR="00513740" w:rsidRPr="00A0243B">
        <w:rPr>
          <w:rFonts w:ascii="Verdana" w:hAnsi="Verdana" w:cs="Times New Roman"/>
          <w:sz w:val="22"/>
          <w:szCs w:val="22"/>
          <w:lang w:val="en-GB"/>
        </w:rPr>
        <w:t xml:space="preserve"> the 10 annexes that form the backbone of the agreement</w:t>
      </w:r>
      <w:r w:rsidR="00231C4A">
        <w:rPr>
          <w:rFonts w:ascii="Verdana" w:hAnsi="Verdana" w:cs="Times New Roman"/>
          <w:sz w:val="22"/>
          <w:szCs w:val="22"/>
          <w:lang w:val="en-GB"/>
        </w:rPr>
        <w:t xml:space="preserve">, covering </w:t>
      </w:r>
      <w:r w:rsidR="00513740" w:rsidRPr="00A0243B">
        <w:rPr>
          <w:rFonts w:ascii="Verdana" w:hAnsi="Verdana" w:cs="Times New Roman"/>
          <w:sz w:val="22"/>
          <w:szCs w:val="22"/>
          <w:lang w:val="en-GB"/>
        </w:rPr>
        <w:t>important topics such as a negative list of banned ingredients, substantiation of safety and health claims, labelling requirements, and more.</w:t>
      </w:r>
      <w:r w:rsidR="00231C4A">
        <w:rPr>
          <w:rFonts w:ascii="Verdana" w:hAnsi="Verdana" w:cs="Times New Roman"/>
          <w:sz w:val="22"/>
          <w:szCs w:val="22"/>
          <w:lang w:val="en-GB"/>
        </w:rPr>
        <w:t>”</w:t>
      </w:r>
    </w:p>
    <w:p w14:paraId="5000255C" w14:textId="6856EA7E" w:rsidR="00E02B45" w:rsidRDefault="00E02B45" w:rsidP="005210D4">
      <w:pPr>
        <w:autoSpaceDE w:val="0"/>
        <w:autoSpaceDN w:val="0"/>
        <w:adjustRightInd w:val="0"/>
        <w:rPr>
          <w:rFonts w:ascii="Verdana" w:hAnsi="Verdana" w:cs="Times New Roman"/>
          <w:sz w:val="22"/>
          <w:szCs w:val="22"/>
          <w:lang w:val="en-GB"/>
        </w:rPr>
      </w:pPr>
    </w:p>
    <w:p w14:paraId="00FEC9CA" w14:textId="0BF6E96F" w:rsidR="00231C4A" w:rsidRPr="00B36CA3" w:rsidRDefault="00513740" w:rsidP="00513740">
      <w:pPr>
        <w:rPr>
          <w:rFonts w:ascii="Verdana" w:eastAsia="Times New Roman" w:hAnsi="Verdana" w:cs="Times New Roman"/>
          <w:sz w:val="22"/>
          <w:szCs w:val="22"/>
          <w:shd w:val="clear" w:color="auto" w:fill="FFFFFF"/>
          <w:lang w:val="en-GB"/>
        </w:rPr>
      </w:pPr>
      <w:r w:rsidRPr="00A0243B">
        <w:rPr>
          <w:rFonts w:ascii="Verdana" w:hAnsi="Verdana" w:cs="Times New Roman"/>
          <w:sz w:val="22"/>
          <w:szCs w:val="22"/>
          <w:lang w:val="en-GB"/>
        </w:rPr>
        <w:t xml:space="preserve">AAHSA </w:t>
      </w:r>
      <w:r>
        <w:rPr>
          <w:rFonts w:ascii="Verdana" w:hAnsi="Verdana" w:cs="Times New Roman"/>
          <w:sz w:val="22"/>
          <w:szCs w:val="22"/>
          <w:lang w:val="en-GB"/>
        </w:rPr>
        <w:t xml:space="preserve">worked </w:t>
      </w:r>
      <w:r w:rsidR="00D94EED">
        <w:rPr>
          <w:rFonts w:ascii="Verdana" w:hAnsi="Verdana" w:cs="Times New Roman"/>
          <w:sz w:val="22"/>
          <w:szCs w:val="22"/>
          <w:lang w:val="en-GB"/>
        </w:rPr>
        <w:t>alongside</w:t>
      </w:r>
      <w:r>
        <w:rPr>
          <w:rFonts w:ascii="Verdana" w:hAnsi="Verdana" w:cs="Times New Roman"/>
          <w:sz w:val="22"/>
          <w:szCs w:val="22"/>
          <w:lang w:val="en-GB"/>
        </w:rPr>
        <w:t xml:space="preserve"> </w:t>
      </w:r>
      <w:r w:rsidRPr="00A0243B">
        <w:rPr>
          <w:rFonts w:ascii="Verdana" w:hAnsi="Verdana" w:cs="Times New Roman"/>
          <w:sz w:val="22"/>
          <w:szCs w:val="22"/>
          <w:lang w:val="en-GB"/>
        </w:rPr>
        <w:t xml:space="preserve">IADSA, </w:t>
      </w:r>
      <w:r w:rsidRPr="00A0243B">
        <w:rPr>
          <w:rFonts w:ascii="Verdana" w:eastAsia="Times New Roman" w:hAnsi="Verdana" w:cs="Times New Roman"/>
          <w:sz w:val="22"/>
          <w:szCs w:val="22"/>
          <w:shd w:val="clear" w:color="auto" w:fill="FFFFFF"/>
          <w:lang w:val="en-GB"/>
        </w:rPr>
        <w:t xml:space="preserve">the </w:t>
      </w:r>
      <w:r>
        <w:rPr>
          <w:rFonts w:ascii="Verdana" w:eastAsia="Times New Roman" w:hAnsi="Verdana" w:cs="Times New Roman"/>
          <w:sz w:val="22"/>
          <w:szCs w:val="22"/>
          <w:shd w:val="clear" w:color="auto" w:fill="FFFFFF"/>
          <w:lang w:val="en-GB"/>
        </w:rPr>
        <w:t>global</w:t>
      </w:r>
      <w:r w:rsidRPr="00A0243B">
        <w:rPr>
          <w:rFonts w:ascii="Verdana" w:eastAsia="Times New Roman" w:hAnsi="Verdana" w:cs="Times New Roman"/>
          <w:sz w:val="22"/>
          <w:szCs w:val="22"/>
          <w:shd w:val="clear" w:color="auto" w:fill="FFFFFF"/>
          <w:lang w:val="en-GB"/>
        </w:rPr>
        <w:t xml:space="preserve"> association of the food supplement sector, with members from six continents. </w:t>
      </w:r>
      <w:r w:rsidRPr="00A0243B">
        <w:rPr>
          <w:rFonts w:ascii="Verdana" w:hAnsi="Verdana"/>
          <w:sz w:val="22"/>
          <w:szCs w:val="22"/>
          <w:lang w:val="en-GB"/>
        </w:rPr>
        <w:t xml:space="preserve">Simon Pettman, </w:t>
      </w:r>
      <w:r w:rsidR="00B36CA3" w:rsidRPr="00991400">
        <w:rPr>
          <w:rFonts w:ascii="Verdana" w:hAnsi="Verdana"/>
          <w:color w:val="000000" w:themeColor="text1"/>
          <w:sz w:val="22"/>
          <w:szCs w:val="22"/>
          <w:lang w:val="en-GB"/>
        </w:rPr>
        <w:t xml:space="preserve">IADSA </w:t>
      </w:r>
      <w:r w:rsidRPr="00991400">
        <w:rPr>
          <w:rFonts w:ascii="Verdana" w:hAnsi="Verdana"/>
          <w:color w:val="000000" w:themeColor="text1"/>
          <w:sz w:val="22"/>
          <w:szCs w:val="22"/>
          <w:lang w:val="en-GB"/>
        </w:rPr>
        <w:t xml:space="preserve">Executive Director, </w:t>
      </w:r>
      <w:r w:rsidR="00363B84" w:rsidRPr="00991400">
        <w:rPr>
          <w:rFonts w:ascii="Verdana" w:hAnsi="Verdana"/>
          <w:color w:val="000000" w:themeColor="text1"/>
          <w:sz w:val="22"/>
          <w:szCs w:val="22"/>
          <w:lang w:val="en-GB"/>
        </w:rPr>
        <w:t>commented</w:t>
      </w:r>
      <w:r w:rsidRPr="00991400">
        <w:rPr>
          <w:rFonts w:ascii="Verdana" w:hAnsi="Verdana"/>
          <w:color w:val="000000" w:themeColor="text1"/>
          <w:sz w:val="22"/>
          <w:szCs w:val="22"/>
          <w:lang w:val="en-GB"/>
        </w:rPr>
        <w:t xml:space="preserve">: “The </w:t>
      </w:r>
      <w:r w:rsidR="003D63DE" w:rsidRPr="00991400">
        <w:rPr>
          <w:rFonts w:ascii="Verdana" w:hAnsi="Verdana"/>
          <w:color w:val="000000" w:themeColor="text1"/>
          <w:sz w:val="22"/>
          <w:szCs w:val="22"/>
          <w:lang w:val="en-GB"/>
        </w:rPr>
        <w:t>associations</w:t>
      </w:r>
      <w:r w:rsidRPr="00991400">
        <w:rPr>
          <w:rFonts w:ascii="Verdana" w:hAnsi="Verdana"/>
          <w:color w:val="000000" w:themeColor="text1"/>
          <w:sz w:val="22"/>
          <w:szCs w:val="22"/>
          <w:lang w:val="en-GB"/>
        </w:rPr>
        <w:t xml:space="preserve"> provided </w:t>
      </w:r>
      <w:r w:rsidRPr="00A0243B">
        <w:rPr>
          <w:rFonts w:ascii="Verdana" w:hAnsi="Verdana"/>
          <w:sz w:val="22"/>
          <w:szCs w:val="22"/>
          <w:lang w:val="en-GB"/>
        </w:rPr>
        <w:t xml:space="preserve">expertise from the </w:t>
      </w:r>
      <w:r>
        <w:rPr>
          <w:rFonts w:ascii="Verdana" w:hAnsi="Verdana"/>
          <w:sz w:val="22"/>
          <w:szCs w:val="22"/>
          <w:lang w:val="en-GB"/>
        </w:rPr>
        <w:t>beginning</w:t>
      </w:r>
      <w:r w:rsidRPr="00A0243B">
        <w:rPr>
          <w:rFonts w:ascii="Verdana" w:hAnsi="Verdana"/>
          <w:sz w:val="22"/>
          <w:szCs w:val="22"/>
          <w:lang w:val="en-GB"/>
        </w:rPr>
        <w:t xml:space="preserve"> of this process, and to have reach</w:t>
      </w:r>
      <w:r>
        <w:rPr>
          <w:rFonts w:ascii="Verdana" w:hAnsi="Verdana"/>
          <w:sz w:val="22"/>
          <w:szCs w:val="22"/>
          <w:lang w:val="en-GB"/>
        </w:rPr>
        <w:t>ed</w:t>
      </w:r>
      <w:r w:rsidRPr="00A0243B">
        <w:rPr>
          <w:rFonts w:ascii="Verdana" w:hAnsi="Verdana"/>
          <w:sz w:val="22"/>
          <w:szCs w:val="22"/>
          <w:lang w:val="en-GB"/>
        </w:rPr>
        <w:t xml:space="preserve"> this </w:t>
      </w:r>
      <w:r w:rsidRPr="00A0243B">
        <w:rPr>
          <w:rFonts w:ascii="Verdana" w:hAnsi="Verdana"/>
          <w:sz w:val="22"/>
          <w:szCs w:val="22"/>
          <w:lang w:val="en-GB"/>
        </w:rPr>
        <w:lastRenderedPageBreak/>
        <w:t xml:space="preserve">point is a great success story not just for ASEAN but </w:t>
      </w:r>
      <w:r w:rsidR="00231C4A">
        <w:rPr>
          <w:rFonts w:ascii="Verdana" w:hAnsi="Verdana"/>
          <w:sz w:val="22"/>
          <w:szCs w:val="22"/>
          <w:lang w:val="en-GB"/>
        </w:rPr>
        <w:t xml:space="preserve">also </w:t>
      </w:r>
      <w:r w:rsidRPr="00A0243B">
        <w:rPr>
          <w:rFonts w:ascii="Verdana" w:hAnsi="Verdana"/>
          <w:sz w:val="22"/>
          <w:szCs w:val="22"/>
          <w:lang w:val="en-GB"/>
        </w:rPr>
        <w:t>for the world</w:t>
      </w:r>
      <w:r w:rsidR="00231C4A">
        <w:rPr>
          <w:rFonts w:ascii="Verdana" w:hAnsi="Verdana"/>
          <w:sz w:val="22"/>
          <w:szCs w:val="22"/>
          <w:lang w:val="en-GB"/>
        </w:rPr>
        <w:t>, because it provides an excellent model for others to follow</w:t>
      </w:r>
      <w:r w:rsidRPr="00A0243B">
        <w:rPr>
          <w:rFonts w:ascii="Verdana" w:hAnsi="Verdana"/>
          <w:sz w:val="22"/>
          <w:szCs w:val="22"/>
          <w:lang w:val="en-GB"/>
        </w:rPr>
        <w:t>.</w:t>
      </w:r>
      <w:r w:rsidR="00231C4A">
        <w:rPr>
          <w:rFonts w:ascii="Verdana" w:hAnsi="Verdana"/>
          <w:sz w:val="22"/>
          <w:szCs w:val="22"/>
          <w:lang w:val="en-GB"/>
        </w:rPr>
        <w:t>”</w:t>
      </w:r>
    </w:p>
    <w:p w14:paraId="4AA026EA" w14:textId="77777777" w:rsidR="00B36CA3" w:rsidRDefault="00B36CA3" w:rsidP="00513740">
      <w:pPr>
        <w:rPr>
          <w:rFonts w:ascii="Verdana" w:hAnsi="Verdana"/>
          <w:sz w:val="22"/>
          <w:szCs w:val="22"/>
          <w:lang w:val="en-GB"/>
        </w:rPr>
      </w:pPr>
    </w:p>
    <w:p w14:paraId="2487B515" w14:textId="06126752" w:rsidR="00513740" w:rsidRPr="00513740" w:rsidRDefault="00231C4A" w:rsidP="00513740">
      <w:pPr>
        <w:rPr>
          <w:rFonts w:ascii="Verdana" w:eastAsia="Times New Roman" w:hAnsi="Verdana" w:cs="Times New Roman"/>
          <w:sz w:val="22"/>
          <w:szCs w:val="22"/>
          <w:lang w:val="en-GB"/>
        </w:rPr>
      </w:pPr>
      <w:r w:rsidRPr="00991400">
        <w:rPr>
          <w:rFonts w:ascii="Verdana" w:hAnsi="Verdana"/>
          <w:color w:val="000000" w:themeColor="text1"/>
          <w:sz w:val="22"/>
          <w:szCs w:val="22"/>
          <w:lang w:val="en-GB"/>
        </w:rPr>
        <w:t>He continued: “</w:t>
      </w:r>
      <w:r w:rsidR="00513740" w:rsidRPr="00991400">
        <w:rPr>
          <w:rFonts w:ascii="Verdana" w:hAnsi="Verdana"/>
          <w:color w:val="000000" w:themeColor="text1"/>
          <w:sz w:val="22"/>
          <w:szCs w:val="22"/>
          <w:lang w:val="en-GB"/>
        </w:rPr>
        <w:t xml:space="preserve">In </w:t>
      </w:r>
      <w:r w:rsidR="003D63DE" w:rsidRPr="00991400">
        <w:rPr>
          <w:rFonts w:ascii="Verdana" w:hAnsi="Verdana"/>
          <w:color w:val="000000" w:themeColor="text1"/>
          <w:sz w:val="22"/>
          <w:szCs w:val="22"/>
          <w:lang w:val="en-GB"/>
        </w:rPr>
        <w:t>creating the conditions</w:t>
      </w:r>
      <w:r w:rsidR="00513740" w:rsidRPr="00991400">
        <w:rPr>
          <w:rFonts w:ascii="Verdana" w:hAnsi="Verdana"/>
          <w:color w:val="000000" w:themeColor="text1"/>
          <w:sz w:val="22"/>
          <w:szCs w:val="22"/>
          <w:lang w:val="en-GB"/>
        </w:rPr>
        <w:t xml:space="preserve"> for supplement businesses in </w:t>
      </w:r>
      <w:r w:rsidR="00513740" w:rsidRPr="00A0243B">
        <w:rPr>
          <w:rFonts w:ascii="Verdana" w:hAnsi="Verdana"/>
          <w:sz w:val="22"/>
          <w:szCs w:val="22"/>
          <w:lang w:val="en-GB"/>
        </w:rPr>
        <w:t>ASEAN to thrive, harmonisation acts as a catalyst for attracting investment by health supplement players from both within the region and elsewhere in the world, leading to an increase in production capacity, research &amp; development, economic growth and job creation in the region.”</w:t>
      </w:r>
    </w:p>
    <w:p w14:paraId="053AAABE" w14:textId="77777777" w:rsidR="00513740" w:rsidRPr="00A0243B" w:rsidRDefault="00513740" w:rsidP="00513740">
      <w:pPr>
        <w:rPr>
          <w:rFonts w:ascii="Verdana" w:hAnsi="Verdana"/>
          <w:sz w:val="22"/>
          <w:szCs w:val="22"/>
          <w:lang w:val="en-GB"/>
        </w:rPr>
      </w:pPr>
    </w:p>
    <w:p w14:paraId="46A3DF61" w14:textId="01FE6340" w:rsidR="007B7846" w:rsidRPr="00A0243B" w:rsidRDefault="00BE3A62" w:rsidP="007B7846">
      <w:pPr>
        <w:autoSpaceDE w:val="0"/>
        <w:autoSpaceDN w:val="0"/>
        <w:adjustRightInd w:val="0"/>
        <w:rPr>
          <w:rFonts w:ascii="Verdana" w:hAnsi="Verdana" w:cs="Times New Roman"/>
          <w:sz w:val="22"/>
          <w:szCs w:val="22"/>
          <w:lang w:val="en-GB"/>
        </w:rPr>
      </w:pPr>
      <w:r w:rsidRPr="00A0243B">
        <w:rPr>
          <w:rFonts w:ascii="Verdana" w:hAnsi="Verdana"/>
          <w:sz w:val="22"/>
          <w:szCs w:val="22"/>
          <w:lang w:val="en-GB"/>
        </w:rPr>
        <w:t>Governments in ASEAN</w:t>
      </w:r>
      <w:r w:rsidR="007B7846" w:rsidRPr="00A0243B">
        <w:rPr>
          <w:rFonts w:ascii="Verdana" w:hAnsi="Verdana"/>
          <w:sz w:val="22"/>
          <w:szCs w:val="22"/>
          <w:lang w:val="en-GB"/>
        </w:rPr>
        <w:t xml:space="preserve"> </w:t>
      </w:r>
      <w:r w:rsidR="007B7846" w:rsidRPr="00A0243B">
        <w:rPr>
          <w:rFonts w:ascii="Verdana" w:hAnsi="Verdana" w:cs="Times New Roman"/>
          <w:sz w:val="22"/>
          <w:szCs w:val="22"/>
          <w:lang w:val="en-GB"/>
        </w:rPr>
        <w:t xml:space="preserve">consider </w:t>
      </w:r>
      <w:r w:rsidR="004B787C" w:rsidRPr="00A0243B">
        <w:rPr>
          <w:rFonts w:ascii="Verdana" w:hAnsi="Verdana" w:cs="Times New Roman"/>
          <w:sz w:val="22"/>
          <w:szCs w:val="22"/>
          <w:lang w:val="en-GB"/>
        </w:rPr>
        <w:t xml:space="preserve">health </w:t>
      </w:r>
      <w:r w:rsidR="007B7846" w:rsidRPr="00A0243B">
        <w:rPr>
          <w:rFonts w:ascii="Verdana" w:hAnsi="Verdana" w:cs="Times New Roman"/>
          <w:sz w:val="22"/>
          <w:szCs w:val="22"/>
          <w:lang w:val="en-GB"/>
        </w:rPr>
        <w:t>supplement</w:t>
      </w:r>
      <w:r w:rsidR="004B787C" w:rsidRPr="00A0243B">
        <w:rPr>
          <w:rFonts w:ascii="Verdana" w:hAnsi="Verdana" w:cs="Times New Roman"/>
          <w:sz w:val="22"/>
          <w:szCs w:val="22"/>
          <w:lang w:val="en-GB"/>
        </w:rPr>
        <w:t>s</w:t>
      </w:r>
      <w:r w:rsidR="007B7846" w:rsidRPr="00A0243B">
        <w:rPr>
          <w:rFonts w:ascii="Verdana" w:hAnsi="Verdana" w:cs="Times New Roman"/>
          <w:sz w:val="22"/>
          <w:szCs w:val="22"/>
          <w:lang w:val="en-GB"/>
        </w:rPr>
        <w:t xml:space="preserve"> to be a priority sector. The market continues to grow globally</w:t>
      </w:r>
      <w:r w:rsidR="001E0ACA" w:rsidRPr="00A0243B">
        <w:rPr>
          <w:rFonts w:ascii="Verdana" w:hAnsi="Verdana" w:cs="Times New Roman"/>
          <w:sz w:val="22"/>
          <w:szCs w:val="22"/>
          <w:lang w:val="en-GB"/>
        </w:rPr>
        <w:t>,</w:t>
      </w:r>
      <w:r w:rsidR="007B7846" w:rsidRPr="00A0243B">
        <w:rPr>
          <w:rFonts w:ascii="Verdana" w:hAnsi="Verdana" w:cs="Times New Roman"/>
          <w:sz w:val="22"/>
          <w:szCs w:val="22"/>
          <w:lang w:val="en-GB"/>
        </w:rPr>
        <w:t xml:space="preserve"> </w:t>
      </w:r>
      <w:r w:rsidR="004B787C" w:rsidRPr="00A0243B">
        <w:rPr>
          <w:rFonts w:ascii="Verdana" w:hAnsi="Verdana" w:cs="Times New Roman"/>
          <w:sz w:val="22"/>
          <w:szCs w:val="22"/>
          <w:lang w:val="en-GB"/>
        </w:rPr>
        <w:t>which means there</w:t>
      </w:r>
      <w:r w:rsidR="007B7846" w:rsidRPr="00A0243B">
        <w:rPr>
          <w:rFonts w:ascii="Verdana" w:hAnsi="Verdana" w:cs="Times New Roman"/>
          <w:sz w:val="22"/>
          <w:szCs w:val="22"/>
          <w:lang w:val="en-GB"/>
        </w:rPr>
        <w:t xml:space="preserve"> </w:t>
      </w:r>
      <w:r w:rsidR="00B453CE" w:rsidRPr="00A0243B">
        <w:rPr>
          <w:rFonts w:ascii="Verdana" w:hAnsi="Verdana" w:cs="Times New Roman"/>
          <w:sz w:val="22"/>
          <w:szCs w:val="22"/>
          <w:lang w:val="en-GB"/>
        </w:rPr>
        <w:t xml:space="preserve">is </w:t>
      </w:r>
      <w:r w:rsidR="007B7846" w:rsidRPr="00A0243B">
        <w:rPr>
          <w:rFonts w:ascii="Verdana" w:hAnsi="Verdana" w:cs="Times New Roman"/>
          <w:sz w:val="22"/>
          <w:szCs w:val="22"/>
          <w:lang w:val="en-GB"/>
        </w:rPr>
        <w:t xml:space="preserve">a shared desire among ASEAN countries to ensure products sold in the region are manufactured to high levels of safety and quality. </w:t>
      </w:r>
    </w:p>
    <w:p w14:paraId="55C018EE" w14:textId="77777777" w:rsidR="007B7846" w:rsidRPr="00A0243B" w:rsidRDefault="007B7846" w:rsidP="007B7846">
      <w:pPr>
        <w:autoSpaceDE w:val="0"/>
        <w:autoSpaceDN w:val="0"/>
        <w:adjustRightInd w:val="0"/>
        <w:rPr>
          <w:rFonts w:ascii="Verdana" w:hAnsi="Verdana" w:cs="Times New Roman"/>
          <w:sz w:val="22"/>
          <w:szCs w:val="22"/>
          <w:lang w:val="en-GB"/>
        </w:rPr>
      </w:pPr>
    </w:p>
    <w:p w14:paraId="251173F1" w14:textId="17BD5705" w:rsidR="00BE3A62" w:rsidRPr="00A0243B" w:rsidRDefault="007B7846" w:rsidP="007B7846">
      <w:pPr>
        <w:autoSpaceDE w:val="0"/>
        <w:autoSpaceDN w:val="0"/>
        <w:adjustRightInd w:val="0"/>
        <w:rPr>
          <w:rFonts w:ascii="Verdana" w:hAnsi="Verdana" w:cs="Times New Roman"/>
          <w:sz w:val="22"/>
          <w:szCs w:val="22"/>
          <w:lang w:val="en-GB"/>
        </w:rPr>
      </w:pPr>
      <w:r w:rsidRPr="00A0243B">
        <w:rPr>
          <w:rFonts w:ascii="Verdana" w:hAnsi="Verdana" w:cs="Times New Roman"/>
          <w:sz w:val="22"/>
          <w:szCs w:val="22"/>
          <w:lang w:val="en-GB"/>
        </w:rPr>
        <w:t>Furthermore, there is a recognition that growth in the global market for health supplements represents an opportunity for ASEAN to leverage its position as a world leader in the sector – particularly in the area of herbal ingredients, capitalising on the significant biodiversity in the region.</w:t>
      </w:r>
      <w:r w:rsidR="00BE3A62" w:rsidRPr="00A0243B">
        <w:rPr>
          <w:rFonts w:ascii="Verdana" w:hAnsi="Verdana" w:cs="Times New Roman"/>
          <w:sz w:val="22"/>
          <w:szCs w:val="22"/>
          <w:lang w:val="en-GB"/>
        </w:rPr>
        <w:t xml:space="preserve"> </w:t>
      </w:r>
    </w:p>
    <w:p w14:paraId="4135510C" w14:textId="586147CB" w:rsidR="00BE3A62" w:rsidRPr="00A0243B" w:rsidRDefault="00BE3A62" w:rsidP="00A11509">
      <w:pPr>
        <w:rPr>
          <w:rFonts w:ascii="Times New Roman" w:hAnsi="Times New Roman" w:cs="Times New Roman"/>
          <w:color w:val="333F48"/>
          <w:sz w:val="20"/>
          <w:szCs w:val="20"/>
          <w:lang w:val="en-GB"/>
        </w:rPr>
      </w:pPr>
    </w:p>
    <w:p w14:paraId="6109DCA5" w14:textId="2D6E3BC0" w:rsidR="00AC2A17" w:rsidRPr="00A0243B" w:rsidRDefault="002E2F86" w:rsidP="00566E18">
      <w:pPr>
        <w:rPr>
          <w:rFonts w:ascii="Verdana" w:hAnsi="Verdana" w:cs="Times New Roman"/>
          <w:sz w:val="22"/>
          <w:szCs w:val="22"/>
          <w:lang w:val="en-GB"/>
        </w:rPr>
      </w:pPr>
      <w:r w:rsidRPr="00A0243B">
        <w:rPr>
          <w:rFonts w:ascii="Verdana" w:hAnsi="Verdana" w:cs="Times New Roman"/>
          <w:sz w:val="22"/>
          <w:szCs w:val="22"/>
          <w:lang w:val="en-GB"/>
        </w:rPr>
        <w:t>Daniel Quek</w:t>
      </w:r>
      <w:r w:rsidR="00D87B22" w:rsidRPr="00A0243B">
        <w:rPr>
          <w:rFonts w:ascii="Verdana" w:hAnsi="Verdana" w:cs="Times New Roman"/>
          <w:sz w:val="22"/>
          <w:szCs w:val="22"/>
          <w:lang w:val="en-GB"/>
        </w:rPr>
        <w:t xml:space="preserve"> sai</w:t>
      </w:r>
      <w:r w:rsidR="00566E18" w:rsidRPr="00A0243B">
        <w:rPr>
          <w:rFonts w:ascii="Verdana" w:hAnsi="Verdana" w:cs="Times New Roman"/>
          <w:sz w:val="22"/>
          <w:szCs w:val="22"/>
          <w:lang w:val="en-GB"/>
        </w:rPr>
        <w:t>d that harmoni</w:t>
      </w:r>
      <w:r w:rsidR="00B465ED">
        <w:rPr>
          <w:rFonts w:ascii="Verdana" w:hAnsi="Verdana" w:cs="Times New Roman"/>
          <w:sz w:val="22"/>
          <w:szCs w:val="22"/>
          <w:lang w:val="en-GB"/>
        </w:rPr>
        <w:t>s</w:t>
      </w:r>
      <w:r w:rsidR="00566E18" w:rsidRPr="00A0243B">
        <w:rPr>
          <w:rFonts w:ascii="Verdana" w:hAnsi="Verdana" w:cs="Times New Roman"/>
          <w:sz w:val="22"/>
          <w:szCs w:val="22"/>
          <w:lang w:val="en-GB"/>
        </w:rPr>
        <w:t xml:space="preserve">ation would provide a </w:t>
      </w:r>
      <w:r w:rsidR="00FB1D38">
        <w:rPr>
          <w:rFonts w:ascii="Verdana" w:hAnsi="Verdana" w:cs="Times New Roman"/>
          <w:sz w:val="22"/>
          <w:szCs w:val="22"/>
          <w:lang w:val="en-GB"/>
        </w:rPr>
        <w:t xml:space="preserve">sizeable </w:t>
      </w:r>
      <w:r w:rsidR="00566E18" w:rsidRPr="00A0243B">
        <w:rPr>
          <w:rFonts w:ascii="Verdana" w:hAnsi="Verdana" w:cs="Times New Roman"/>
          <w:sz w:val="22"/>
          <w:szCs w:val="22"/>
          <w:lang w:val="en-GB"/>
        </w:rPr>
        <w:t>boost to the supplements market in the region. “</w:t>
      </w:r>
      <w:r w:rsidR="00566E18" w:rsidRPr="00A0243B">
        <w:rPr>
          <w:rFonts w:ascii="Verdana" w:hAnsi="Verdana"/>
          <w:sz w:val="22"/>
          <w:szCs w:val="22"/>
          <w:lang w:val="en-GB"/>
        </w:rPr>
        <w:t>The health supplements market in ASEAN is forecast to record a compound annual growth rate of 5.6% between 2018 and 2026, to reach a value of US$10.6 billion</w:t>
      </w:r>
      <w:r w:rsidR="00B8092F" w:rsidRPr="00A0243B">
        <w:rPr>
          <w:rStyle w:val="FootnoteReference"/>
          <w:rFonts w:ascii="Verdana" w:hAnsi="Verdana"/>
          <w:sz w:val="22"/>
          <w:szCs w:val="22"/>
          <w:lang w:val="en-GB"/>
        </w:rPr>
        <w:footnoteReference w:id="1"/>
      </w:r>
      <w:r w:rsidR="00BF48DE" w:rsidRPr="00A0243B">
        <w:rPr>
          <w:rFonts w:ascii="Verdana" w:hAnsi="Verdana"/>
          <w:sz w:val="22"/>
          <w:szCs w:val="22"/>
          <w:lang w:val="en-GB"/>
        </w:rPr>
        <w:t>,” he explained.</w:t>
      </w:r>
      <w:r w:rsidR="00566E18" w:rsidRPr="00A0243B">
        <w:rPr>
          <w:rFonts w:ascii="Verdana" w:hAnsi="Verdana"/>
          <w:sz w:val="22"/>
          <w:szCs w:val="22"/>
          <w:lang w:val="en-GB"/>
        </w:rPr>
        <w:t xml:space="preserve"> </w:t>
      </w:r>
      <w:r w:rsidR="00BF48DE" w:rsidRPr="00A0243B">
        <w:rPr>
          <w:rFonts w:ascii="Verdana" w:hAnsi="Verdana"/>
          <w:sz w:val="22"/>
          <w:szCs w:val="22"/>
          <w:lang w:val="en-GB"/>
        </w:rPr>
        <w:t>“</w:t>
      </w:r>
      <w:r w:rsidR="00566E18" w:rsidRPr="00A0243B">
        <w:rPr>
          <w:rFonts w:ascii="Verdana" w:hAnsi="Verdana"/>
          <w:sz w:val="22"/>
          <w:szCs w:val="22"/>
          <w:lang w:val="en-GB"/>
        </w:rPr>
        <w:t>AAHSA estimates that harmonisation has the potential to add</w:t>
      </w:r>
      <w:r w:rsidR="008E69A5">
        <w:rPr>
          <w:rFonts w:ascii="Verdana" w:hAnsi="Verdana"/>
          <w:sz w:val="22"/>
          <w:szCs w:val="22"/>
          <w:lang w:val="en-GB"/>
        </w:rPr>
        <w:t xml:space="preserve"> </w:t>
      </w:r>
      <w:r w:rsidR="00FB1D38">
        <w:rPr>
          <w:rFonts w:ascii="Verdana" w:hAnsi="Verdana"/>
          <w:sz w:val="22"/>
          <w:szCs w:val="22"/>
          <w:lang w:val="en-GB"/>
        </w:rPr>
        <w:t>up to</w:t>
      </w:r>
      <w:r w:rsidR="00566E18" w:rsidRPr="00A0243B">
        <w:rPr>
          <w:rFonts w:ascii="Verdana" w:hAnsi="Verdana"/>
          <w:sz w:val="22"/>
          <w:szCs w:val="22"/>
          <w:lang w:val="en-GB"/>
        </w:rPr>
        <w:t xml:space="preserve"> 8% to this</w:t>
      </w:r>
      <w:r w:rsidR="00BF48DE" w:rsidRPr="00A0243B">
        <w:rPr>
          <w:rFonts w:ascii="Verdana" w:hAnsi="Verdana"/>
          <w:sz w:val="22"/>
          <w:szCs w:val="22"/>
          <w:lang w:val="en-GB"/>
        </w:rPr>
        <w:t xml:space="preserve">, </w:t>
      </w:r>
      <w:r w:rsidR="00566E18" w:rsidRPr="00A0243B">
        <w:rPr>
          <w:rFonts w:ascii="Verdana" w:hAnsi="Verdana"/>
          <w:sz w:val="22"/>
          <w:szCs w:val="22"/>
          <w:lang w:val="en-GB"/>
        </w:rPr>
        <w:t>driven largely by the reduction of technical obstacles to trading across borders in ASEAN.”</w:t>
      </w:r>
    </w:p>
    <w:p w14:paraId="2B95A1BF" w14:textId="77777777" w:rsidR="00AC2A17" w:rsidRPr="00A0243B" w:rsidRDefault="00AC2A17" w:rsidP="00AC2A17">
      <w:pPr>
        <w:autoSpaceDE w:val="0"/>
        <w:autoSpaceDN w:val="0"/>
        <w:adjustRightInd w:val="0"/>
        <w:rPr>
          <w:rFonts w:ascii="Verdana" w:hAnsi="Verdana" w:cs="Times New Roman"/>
          <w:sz w:val="22"/>
          <w:szCs w:val="22"/>
          <w:lang w:val="en-GB"/>
        </w:rPr>
      </w:pPr>
    </w:p>
    <w:p w14:paraId="21FFD556" w14:textId="2259E676" w:rsidR="00726ACB" w:rsidRPr="00A0243B" w:rsidRDefault="00513740" w:rsidP="004B787C">
      <w:pPr>
        <w:rPr>
          <w:rFonts w:ascii="Verdana" w:hAnsi="Verdana"/>
          <w:sz w:val="22"/>
          <w:szCs w:val="22"/>
          <w:lang w:val="en-GB"/>
        </w:rPr>
      </w:pPr>
      <w:r>
        <w:rPr>
          <w:rFonts w:ascii="Verdana" w:hAnsi="Verdana"/>
          <w:sz w:val="22"/>
          <w:szCs w:val="22"/>
          <w:lang w:val="en-GB"/>
        </w:rPr>
        <w:t>Simon Pettman</w:t>
      </w:r>
      <w:r w:rsidR="004B787C" w:rsidRPr="00A0243B">
        <w:rPr>
          <w:rFonts w:ascii="Verdana" w:hAnsi="Verdana"/>
          <w:sz w:val="22"/>
          <w:szCs w:val="22"/>
          <w:lang w:val="en-GB"/>
        </w:rPr>
        <w:t xml:space="preserve"> </w:t>
      </w:r>
      <w:r>
        <w:rPr>
          <w:rFonts w:ascii="Verdana" w:hAnsi="Verdana"/>
          <w:sz w:val="22"/>
          <w:szCs w:val="22"/>
          <w:lang w:val="en-GB"/>
        </w:rPr>
        <w:t>added</w:t>
      </w:r>
      <w:r w:rsidR="004B787C" w:rsidRPr="00A0243B">
        <w:rPr>
          <w:rFonts w:ascii="Verdana" w:hAnsi="Verdana"/>
          <w:sz w:val="22"/>
          <w:szCs w:val="22"/>
          <w:lang w:val="en-GB"/>
        </w:rPr>
        <w:t>: “</w:t>
      </w:r>
      <w:r>
        <w:rPr>
          <w:rFonts w:ascii="Verdana" w:hAnsi="Verdana"/>
          <w:sz w:val="22"/>
          <w:szCs w:val="22"/>
          <w:lang w:val="en-GB"/>
        </w:rPr>
        <w:t>A</w:t>
      </w:r>
      <w:r w:rsidR="004B787C" w:rsidRPr="00A0243B">
        <w:rPr>
          <w:rFonts w:ascii="Verdana" w:hAnsi="Verdana"/>
          <w:sz w:val="22"/>
          <w:szCs w:val="22"/>
          <w:lang w:val="en-GB"/>
        </w:rPr>
        <w:t>ligning ASEAN’s technical requirements and guidelines for health supplements more closely with the rest of the world makes local companies more competitive on the global stage and opens up new opportunities for them to export. Most important of all, harmonisation helps to protect consumers living in ASEAN Member States by setting rigorous standards and providing access to safe and high-quality products.”</w:t>
      </w:r>
    </w:p>
    <w:p w14:paraId="3763A888" w14:textId="05454738" w:rsidR="00D87B22" w:rsidRPr="00A0243B" w:rsidRDefault="00D87B22" w:rsidP="004B787C">
      <w:pPr>
        <w:rPr>
          <w:rFonts w:ascii="Verdana" w:hAnsi="Verdana"/>
          <w:sz w:val="22"/>
          <w:szCs w:val="22"/>
          <w:lang w:val="en-GB"/>
        </w:rPr>
      </w:pPr>
    </w:p>
    <w:p w14:paraId="08E13843" w14:textId="17323A3C" w:rsidR="00A0243B" w:rsidRPr="00A0243B" w:rsidRDefault="00D607DE" w:rsidP="00162902">
      <w:pPr>
        <w:rPr>
          <w:rFonts w:ascii="Verdana" w:hAnsi="Verdana"/>
          <w:sz w:val="22"/>
          <w:szCs w:val="22"/>
          <w:lang w:val="en-GB"/>
        </w:rPr>
      </w:pPr>
      <w:r w:rsidRPr="00A0243B">
        <w:rPr>
          <w:rFonts w:ascii="Verdana" w:hAnsi="Verdana"/>
          <w:sz w:val="22"/>
          <w:szCs w:val="22"/>
          <w:lang w:val="en-GB"/>
        </w:rPr>
        <w:t xml:space="preserve">ASEAN </w:t>
      </w:r>
      <w:r w:rsidR="00363B84" w:rsidRPr="00A0243B">
        <w:rPr>
          <w:rFonts w:ascii="Verdana" w:hAnsi="Verdana"/>
          <w:sz w:val="22"/>
          <w:szCs w:val="22"/>
          <w:lang w:val="en-GB"/>
        </w:rPr>
        <w:t xml:space="preserve">(the </w:t>
      </w:r>
      <w:r w:rsidR="00363B84" w:rsidRPr="00A0243B">
        <w:rPr>
          <w:rFonts w:ascii="Verdana" w:hAnsi="Verdana" w:cs="Times New Roman"/>
          <w:sz w:val="22"/>
          <w:szCs w:val="22"/>
          <w:lang w:val="en-GB"/>
        </w:rPr>
        <w:t xml:space="preserve">Association of Southeast Asian Nations) </w:t>
      </w:r>
      <w:r w:rsidR="00EE5757" w:rsidRPr="00A0243B">
        <w:rPr>
          <w:rFonts w:ascii="Verdana" w:hAnsi="Verdana"/>
          <w:sz w:val="22"/>
          <w:szCs w:val="22"/>
          <w:lang w:val="en-GB"/>
        </w:rPr>
        <w:t xml:space="preserve">was established in </w:t>
      </w:r>
      <w:r w:rsidR="00E2478F" w:rsidRPr="00A0243B">
        <w:rPr>
          <w:rFonts w:ascii="Verdana" w:hAnsi="Verdana"/>
          <w:sz w:val="22"/>
          <w:szCs w:val="22"/>
          <w:lang w:val="en-GB"/>
        </w:rPr>
        <w:t>1967 to encourage economic growth in Southeast Asia.</w:t>
      </w:r>
      <w:r w:rsidR="00EE5757" w:rsidRPr="00A0243B">
        <w:rPr>
          <w:rFonts w:ascii="Verdana" w:hAnsi="Verdana"/>
          <w:sz w:val="22"/>
          <w:szCs w:val="22"/>
          <w:lang w:val="en-GB"/>
        </w:rPr>
        <w:t xml:space="preserve"> </w:t>
      </w:r>
      <w:r w:rsidR="00691DB2" w:rsidRPr="00A0243B">
        <w:rPr>
          <w:rFonts w:ascii="Verdana" w:hAnsi="Verdana"/>
          <w:sz w:val="22"/>
          <w:szCs w:val="22"/>
          <w:lang w:val="en-GB"/>
        </w:rPr>
        <w:t>Its</w:t>
      </w:r>
      <w:r w:rsidR="00D87B22" w:rsidRPr="00A0243B">
        <w:rPr>
          <w:rFonts w:ascii="Verdana" w:hAnsi="Verdana"/>
          <w:sz w:val="22"/>
          <w:szCs w:val="22"/>
          <w:lang w:val="en-GB"/>
        </w:rPr>
        <w:t xml:space="preserve"> 10 Member States are Brunei Darussalam, Lao PDR, Philippines, Cambodia, Malaysia, Singapore, Indonesia, Myanmar, Thailand and Viet Nam.</w:t>
      </w:r>
      <w:r w:rsidR="00AC2A17" w:rsidRPr="00A0243B">
        <w:rPr>
          <w:rFonts w:ascii="Verdana" w:hAnsi="Verdana"/>
          <w:sz w:val="22"/>
          <w:szCs w:val="22"/>
          <w:lang w:val="en-GB"/>
        </w:rPr>
        <w:t xml:space="preserve"> </w:t>
      </w:r>
      <w:r w:rsidR="00A0243B" w:rsidRPr="00A0243B">
        <w:rPr>
          <w:rFonts w:ascii="Verdana" w:hAnsi="Verdana"/>
          <w:sz w:val="22"/>
          <w:szCs w:val="22"/>
          <w:lang w:val="en-GB"/>
        </w:rPr>
        <w:t xml:space="preserve">For more information visit </w:t>
      </w:r>
      <w:hyperlink r:id="rId9" w:history="1">
        <w:r w:rsidR="00A0243B" w:rsidRPr="00A0243B">
          <w:rPr>
            <w:rStyle w:val="Hyperlink"/>
            <w:rFonts w:ascii="Verdana" w:hAnsi="Verdana"/>
            <w:sz w:val="22"/>
            <w:szCs w:val="22"/>
            <w:lang w:val="en-GB"/>
          </w:rPr>
          <w:t>asean.org</w:t>
        </w:r>
      </w:hyperlink>
      <w:r w:rsidR="00A0243B" w:rsidRPr="00A0243B">
        <w:rPr>
          <w:rFonts w:ascii="Verdana" w:hAnsi="Verdana"/>
          <w:sz w:val="22"/>
          <w:szCs w:val="22"/>
          <w:lang w:val="en-GB"/>
        </w:rPr>
        <w:t>.</w:t>
      </w:r>
    </w:p>
    <w:p w14:paraId="69E4E290" w14:textId="77777777" w:rsidR="0066704A" w:rsidRPr="00A0243B" w:rsidRDefault="0066704A" w:rsidP="0066704A">
      <w:pPr>
        <w:rPr>
          <w:rFonts w:ascii="Verdana" w:hAnsi="Verdana"/>
          <w:sz w:val="22"/>
          <w:szCs w:val="22"/>
          <w:lang w:val="en-GB"/>
        </w:rPr>
      </w:pPr>
    </w:p>
    <w:p w14:paraId="0CD4A980" w14:textId="77777777" w:rsidR="0066704A" w:rsidRPr="00A0243B" w:rsidRDefault="0066704A" w:rsidP="0066704A">
      <w:pPr>
        <w:jc w:val="center"/>
        <w:rPr>
          <w:rFonts w:ascii="Verdana" w:hAnsi="Verdana"/>
          <w:b/>
          <w:sz w:val="22"/>
          <w:szCs w:val="22"/>
          <w:lang w:val="en-GB"/>
        </w:rPr>
      </w:pPr>
      <w:r w:rsidRPr="00A0243B">
        <w:rPr>
          <w:rFonts w:ascii="Verdana" w:hAnsi="Verdana"/>
          <w:b/>
          <w:sz w:val="22"/>
          <w:szCs w:val="22"/>
          <w:lang w:val="en-GB"/>
        </w:rPr>
        <w:t>ENDS</w:t>
      </w:r>
    </w:p>
    <w:p w14:paraId="59B74FD7" w14:textId="77777777" w:rsidR="0066704A" w:rsidRPr="00A0243B" w:rsidRDefault="0066704A" w:rsidP="0066704A">
      <w:pPr>
        <w:rPr>
          <w:rFonts w:ascii="Verdana" w:hAnsi="Verdana"/>
          <w:b/>
          <w:sz w:val="22"/>
          <w:szCs w:val="22"/>
          <w:lang w:val="en-GB"/>
        </w:rPr>
      </w:pPr>
    </w:p>
    <w:p w14:paraId="687EC697" w14:textId="2A20D1F9" w:rsidR="0066704A" w:rsidRPr="00A0243B" w:rsidRDefault="0066704A" w:rsidP="0066704A">
      <w:pPr>
        <w:rPr>
          <w:rFonts w:ascii="Verdana" w:hAnsi="Verdana"/>
          <w:b/>
          <w:sz w:val="22"/>
          <w:szCs w:val="22"/>
          <w:lang w:val="en-GB"/>
        </w:rPr>
      </w:pPr>
      <w:r w:rsidRPr="00A0243B">
        <w:rPr>
          <w:rFonts w:ascii="Verdana" w:hAnsi="Verdana"/>
          <w:b/>
          <w:sz w:val="22"/>
          <w:szCs w:val="22"/>
          <w:lang w:val="en-GB"/>
        </w:rPr>
        <w:t xml:space="preserve">For more information, </w:t>
      </w:r>
      <w:r w:rsidR="00B36CA3">
        <w:rPr>
          <w:rFonts w:ascii="Verdana" w:hAnsi="Verdana"/>
          <w:b/>
          <w:sz w:val="22"/>
          <w:szCs w:val="22"/>
          <w:lang w:val="en-GB"/>
        </w:rPr>
        <w:t xml:space="preserve">or to obtain a PDF copy of the new AAHSA-IADSA report, </w:t>
      </w:r>
      <w:r w:rsidRPr="00A0243B">
        <w:rPr>
          <w:rFonts w:ascii="Verdana" w:hAnsi="Verdana"/>
          <w:b/>
          <w:sz w:val="22"/>
          <w:szCs w:val="22"/>
          <w:lang w:val="en-GB"/>
        </w:rPr>
        <w:t>please contact:</w:t>
      </w:r>
    </w:p>
    <w:p w14:paraId="629586BD" w14:textId="24A247D0" w:rsidR="0066704A" w:rsidRPr="00A0243B" w:rsidRDefault="0066704A" w:rsidP="0066704A">
      <w:pPr>
        <w:rPr>
          <w:rFonts w:ascii="Verdana" w:hAnsi="Verdana"/>
          <w:sz w:val="22"/>
          <w:szCs w:val="22"/>
          <w:lang w:val="en-GB"/>
        </w:rPr>
      </w:pPr>
      <w:r w:rsidRPr="00A0243B">
        <w:rPr>
          <w:rFonts w:ascii="Verdana" w:hAnsi="Verdana"/>
          <w:sz w:val="22"/>
          <w:szCs w:val="22"/>
          <w:lang w:val="en-GB"/>
        </w:rPr>
        <w:t>Richard Clarke</w:t>
      </w:r>
      <w:r w:rsidR="00363B84">
        <w:rPr>
          <w:rFonts w:ascii="Verdana" w:hAnsi="Verdana"/>
          <w:sz w:val="22"/>
          <w:szCs w:val="22"/>
          <w:lang w:val="en-GB"/>
        </w:rPr>
        <w:t xml:space="preserve">, </w:t>
      </w:r>
      <w:r w:rsidRPr="00A0243B">
        <w:rPr>
          <w:rFonts w:ascii="Verdana" w:hAnsi="Verdana"/>
          <w:sz w:val="22"/>
          <w:szCs w:val="22"/>
          <w:lang w:val="en-GB"/>
        </w:rPr>
        <w:t>Ingredient Communications</w:t>
      </w:r>
    </w:p>
    <w:p w14:paraId="30201231" w14:textId="1D1283D8" w:rsidR="00A0243B" w:rsidRPr="00A0243B" w:rsidRDefault="0066704A" w:rsidP="0066704A">
      <w:pPr>
        <w:rPr>
          <w:rFonts w:ascii="Verdana" w:hAnsi="Verdana" w:cs="Helvetica"/>
          <w:sz w:val="22"/>
          <w:szCs w:val="22"/>
          <w:lang w:val="en-GB"/>
        </w:rPr>
      </w:pPr>
      <w:r w:rsidRPr="00A0243B">
        <w:rPr>
          <w:rFonts w:ascii="Verdana" w:hAnsi="Verdana"/>
          <w:sz w:val="22"/>
          <w:szCs w:val="22"/>
          <w:lang w:val="en-GB"/>
        </w:rPr>
        <w:t xml:space="preserve">Tel: +44 </w:t>
      </w:r>
      <w:r w:rsidR="00DD1819">
        <w:rPr>
          <w:rFonts w:ascii="Verdana" w:hAnsi="Verdana"/>
          <w:sz w:val="22"/>
          <w:szCs w:val="22"/>
          <w:lang w:val="en-GB"/>
        </w:rPr>
        <w:t xml:space="preserve">(0) </w:t>
      </w:r>
      <w:r w:rsidR="00D607DE" w:rsidRPr="00A0243B">
        <w:rPr>
          <w:rFonts w:ascii="Verdana" w:hAnsi="Verdana" w:cs="Helvetica"/>
          <w:sz w:val="22"/>
          <w:szCs w:val="22"/>
          <w:lang w:val="en-GB"/>
        </w:rPr>
        <w:t>7766</w:t>
      </w:r>
      <w:r w:rsidR="00A0243B" w:rsidRPr="00A0243B">
        <w:rPr>
          <w:rFonts w:ascii="Verdana" w:hAnsi="Verdana" w:cs="Helvetica"/>
          <w:sz w:val="22"/>
          <w:szCs w:val="22"/>
          <w:lang w:val="en-GB"/>
        </w:rPr>
        <w:t xml:space="preserve"> </w:t>
      </w:r>
      <w:r w:rsidR="00D607DE" w:rsidRPr="00A0243B">
        <w:rPr>
          <w:rFonts w:ascii="Verdana" w:hAnsi="Verdana" w:cs="Helvetica"/>
          <w:sz w:val="22"/>
          <w:szCs w:val="22"/>
          <w:lang w:val="en-GB"/>
        </w:rPr>
        <w:t>256176</w:t>
      </w:r>
    </w:p>
    <w:p w14:paraId="5E8908C9" w14:textId="2939F95C" w:rsidR="0066704A" w:rsidRPr="00A0243B" w:rsidRDefault="0066704A" w:rsidP="0066704A">
      <w:pPr>
        <w:rPr>
          <w:rFonts w:ascii="Verdana" w:hAnsi="Verdana" w:cs="Helvetica"/>
          <w:sz w:val="22"/>
          <w:szCs w:val="22"/>
          <w:lang w:val="en-GB"/>
        </w:rPr>
      </w:pPr>
      <w:r w:rsidRPr="00A0243B">
        <w:rPr>
          <w:rFonts w:ascii="Verdana" w:hAnsi="Verdana"/>
          <w:sz w:val="22"/>
          <w:szCs w:val="22"/>
          <w:lang w:val="en-GB"/>
        </w:rPr>
        <w:t xml:space="preserve">Email: </w:t>
      </w:r>
      <w:hyperlink r:id="rId10" w:history="1">
        <w:r w:rsidRPr="00A0243B">
          <w:rPr>
            <w:rStyle w:val="Hyperlink"/>
            <w:rFonts w:ascii="Verdana" w:hAnsi="Verdana"/>
            <w:sz w:val="22"/>
            <w:szCs w:val="22"/>
            <w:lang w:val="en-GB"/>
          </w:rPr>
          <w:t>richard@ingredientcommunications.com</w:t>
        </w:r>
      </w:hyperlink>
    </w:p>
    <w:p w14:paraId="1DBB6747" w14:textId="4823FB59" w:rsidR="0066704A" w:rsidRPr="00A0243B" w:rsidRDefault="0066704A" w:rsidP="0066704A">
      <w:pPr>
        <w:rPr>
          <w:rFonts w:ascii="Verdana" w:hAnsi="Verdana"/>
          <w:b/>
          <w:sz w:val="22"/>
          <w:szCs w:val="22"/>
          <w:lang w:val="en-GB"/>
        </w:rPr>
      </w:pPr>
      <w:r w:rsidRPr="00A0243B">
        <w:rPr>
          <w:rFonts w:ascii="Verdana" w:hAnsi="Verdana"/>
          <w:b/>
          <w:sz w:val="22"/>
          <w:szCs w:val="22"/>
          <w:lang w:val="en-GB"/>
        </w:rPr>
        <w:lastRenderedPageBreak/>
        <w:t>About IADSA</w:t>
      </w:r>
    </w:p>
    <w:p w14:paraId="3975DF91" w14:textId="6874E738" w:rsidR="0066704A" w:rsidRPr="00A0243B" w:rsidRDefault="0066704A" w:rsidP="0066704A">
      <w:pPr>
        <w:rPr>
          <w:rFonts w:ascii="Verdana" w:eastAsia="Times New Roman" w:hAnsi="Verdana" w:cs="Times New Roman"/>
          <w:sz w:val="22"/>
          <w:szCs w:val="22"/>
          <w:lang w:val="en-GB"/>
        </w:rPr>
      </w:pPr>
      <w:r w:rsidRPr="00A0243B">
        <w:rPr>
          <w:rFonts w:ascii="Verdana" w:hAnsi="Verdana"/>
          <w:sz w:val="22"/>
          <w:szCs w:val="22"/>
          <w:lang w:val="en-GB"/>
        </w:rPr>
        <w:t xml:space="preserve">Established in 1998, IADSA </w:t>
      </w:r>
      <w:r w:rsidRPr="00A0243B">
        <w:rPr>
          <w:rFonts w:ascii="Verdana" w:eastAsia="Times New Roman" w:hAnsi="Verdana" w:cs="Times New Roman"/>
          <w:sz w:val="22"/>
          <w:szCs w:val="22"/>
          <w:shd w:val="clear" w:color="auto" w:fill="FFFFFF"/>
          <w:lang w:val="en-GB"/>
        </w:rPr>
        <w:t>is an international body comprising member associations and companies operating in the global supplements</w:t>
      </w:r>
      <w:r w:rsidR="00563A43">
        <w:rPr>
          <w:rFonts w:ascii="Verdana" w:eastAsia="Times New Roman" w:hAnsi="Verdana" w:cs="Times New Roman"/>
          <w:sz w:val="22"/>
          <w:szCs w:val="22"/>
          <w:shd w:val="clear" w:color="auto" w:fill="FFFFFF"/>
          <w:lang w:val="en-GB"/>
        </w:rPr>
        <w:t xml:space="preserve"> </w:t>
      </w:r>
      <w:r w:rsidRPr="00A0243B">
        <w:rPr>
          <w:rFonts w:ascii="Verdana" w:eastAsia="Times New Roman" w:hAnsi="Verdana" w:cs="Times New Roman"/>
          <w:sz w:val="22"/>
          <w:szCs w:val="22"/>
          <w:shd w:val="clear" w:color="auto" w:fill="FFFFFF"/>
          <w:lang w:val="en-GB"/>
        </w:rPr>
        <w:t>sector. </w:t>
      </w:r>
      <w:r w:rsidRPr="00A0243B">
        <w:rPr>
          <w:rFonts w:ascii="Verdana" w:hAnsi="Verdana"/>
          <w:sz w:val="22"/>
          <w:szCs w:val="22"/>
          <w:lang w:val="en-GB"/>
        </w:rPr>
        <w:t xml:space="preserve">Bringing together food supplement associations from six continents, </w:t>
      </w:r>
      <w:r w:rsidRPr="00A0243B">
        <w:rPr>
          <w:rFonts w:ascii="Verdana" w:eastAsia="Times New Roman" w:hAnsi="Verdana" w:cs="Times New Roman"/>
          <w:sz w:val="22"/>
          <w:szCs w:val="22"/>
          <w:lang w:val="en-GB"/>
        </w:rPr>
        <w:t xml:space="preserve">IADSA </w:t>
      </w:r>
      <w:r w:rsidRPr="00A0243B">
        <w:rPr>
          <w:rFonts w:ascii="Verdana" w:hAnsi="Verdana"/>
          <w:sz w:val="22"/>
          <w:szCs w:val="22"/>
          <w:lang w:val="en-GB"/>
        </w:rPr>
        <w:t>is a trusted source of information and runs regional and national regulatory, scientific and technical programmes in many parts of the world, supporting and advising governments and other stakeholders in relation to the development and implementation of regulation and policy. IADSA also works with companies and authorities to build national associations in countries where they do not already exist. IADSA’s full name is International Alliance of Dietary/Food Supplement Associations.</w:t>
      </w:r>
    </w:p>
    <w:p w14:paraId="53E965C5" w14:textId="77777777" w:rsidR="00D15AED" w:rsidRPr="00A0243B" w:rsidRDefault="00D15AED" w:rsidP="00FD0494">
      <w:pPr>
        <w:rPr>
          <w:rFonts w:ascii="Verdana" w:eastAsia="Times New Roman" w:hAnsi="Verdana" w:cs="Times New Roman"/>
          <w:sz w:val="22"/>
          <w:szCs w:val="22"/>
          <w:lang w:val="en-GB"/>
        </w:rPr>
      </w:pPr>
    </w:p>
    <w:p w14:paraId="30258729" w14:textId="1B575008" w:rsidR="00983253" w:rsidRPr="00A0243B" w:rsidRDefault="00FF03FF" w:rsidP="007A7E89">
      <w:pPr>
        <w:rPr>
          <w:rFonts w:ascii="Verdana" w:eastAsia="Times New Roman" w:hAnsi="Verdana" w:cs="Times New Roman"/>
          <w:b/>
          <w:bCs/>
          <w:sz w:val="22"/>
          <w:szCs w:val="22"/>
          <w:lang w:val="en-GB"/>
        </w:rPr>
      </w:pPr>
      <w:r w:rsidRPr="00A0243B">
        <w:rPr>
          <w:rFonts w:ascii="Verdana" w:eastAsia="Times New Roman" w:hAnsi="Verdana" w:cs="Times New Roman"/>
          <w:b/>
          <w:bCs/>
          <w:sz w:val="22"/>
          <w:szCs w:val="22"/>
          <w:lang w:val="en-GB"/>
        </w:rPr>
        <w:t>About AAHSA</w:t>
      </w:r>
    </w:p>
    <w:p w14:paraId="3A6FC37C" w14:textId="658FFDEA" w:rsidR="00FF03FF" w:rsidRPr="00563A43" w:rsidRDefault="00FF03FF" w:rsidP="00563A43">
      <w:pPr>
        <w:rPr>
          <w:rFonts w:ascii="Verdana" w:hAnsi="Verdana"/>
          <w:sz w:val="22"/>
          <w:szCs w:val="22"/>
          <w:bdr w:val="none" w:sz="0" w:space="0" w:color="auto" w:frame="1"/>
        </w:rPr>
      </w:pPr>
      <w:r w:rsidRPr="00563A43">
        <w:rPr>
          <w:rFonts w:ascii="Verdana" w:hAnsi="Verdana"/>
          <w:sz w:val="22"/>
          <w:szCs w:val="22"/>
        </w:rPr>
        <w:t>The </w:t>
      </w:r>
      <w:r w:rsidRPr="00563A43">
        <w:rPr>
          <w:rStyle w:val="Strong"/>
          <w:rFonts w:ascii="Verdana" w:hAnsi="Verdana"/>
          <w:b w:val="0"/>
          <w:bCs w:val="0"/>
          <w:sz w:val="22"/>
          <w:szCs w:val="22"/>
          <w:bdr w:val="none" w:sz="0" w:space="0" w:color="auto" w:frame="1"/>
        </w:rPr>
        <w:t>ASEAN Alliance of Health Supplement Associations</w:t>
      </w:r>
      <w:r w:rsidR="00563A43" w:rsidRPr="00563A43">
        <w:rPr>
          <w:rStyle w:val="Strong"/>
          <w:rFonts w:ascii="Verdana" w:hAnsi="Verdana"/>
          <w:b w:val="0"/>
          <w:bCs w:val="0"/>
          <w:sz w:val="22"/>
          <w:szCs w:val="22"/>
          <w:bdr w:val="none" w:sz="0" w:space="0" w:color="auto" w:frame="1"/>
        </w:rPr>
        <w:t xml:space="preserve"> </w:t>
      </w:r>
      <w:r w:rsidR="00563A43">
        <w:rPr>
          <w:rStyle w:val="Strong"/>
          <w:rFonts w:ascii="Verdana" w:hAnsi="Verdana"/>
          <w:b w:val="0"/>
          <w:bCs w:val="0"/>
          <w:sz w:val="22"/>
          <w:szCs w:val="22"/>
          <w:bdr w:val="none" w:sz="0" w:space="0" w:color="auto" w:frame="1"/>
        </w:rPr>
        <w:t xml:space="preserve">(AAHSA) </w:t>
      </w:r>
      <w:r w:rsidRPr="00563A43">
        <w:rPr>
          <w:rFonts w:ascii="Verdana" w:hAnsi="Verdana"/>
          <w:sz w:val="22"/>
          <w:szCs w:val="22"/>
        </w:rPr>
        <w:t>represents the health supplement industry in the member countries of the </w:t>
      </w:r>
      <w:r w:rsidRPr="00563A43">
        <w:rPr>
          <w:rFonts w:ascii="Verdana" w:hAnsi="Verdana"/>
          <w:sz w:val="22"/>
          <w:szCs w:val="22"/>
          <w:bdr w:val="none" w:sz="0" w:space="0" w:color="auto" w:frame="1"/>
        </w:rPr>
        <w:t>Association of Southeast Asian Nations (ASEAN)</w:t>
      </w:r>
      <w:r w:rsidRPr="00563A43">
        <w:rPr>
          <w:rFonts w:ascii="Verdana" w:hAnsi="Verdana"/>
          <w:sz w:val="22"/>
          <w:szCs w:val="22"/>
        </w:rPr>
        <w:t xml:space="preserve">. </w:t>
      </w:r>
      <w:r w:rsidRPr="00563A43">
        <w:rPr>
          <w:rFonts w:ascii="Verdana" w:eastAsia="Times New Roman" w:hAnsi="Verdana"/>
          <w:sz w:val="22"/>
          <w:szCs w:val="22"/>
          <w:shd w:val="clear" w:color="auto" w:fill="FFFFFF"/>
          <w:lang w:eastAsia="en-GB"/>
        </w:rPr>
        <w:t>AAHSA was created in 2006 to work with the regulatory bodies of ASEAN to achieve</w:t>
      </w:r>
      <w:r w:rsidR="009A33DA">
        <w:rPr>
          <w:rFonts w:ascii="Verdana" w:eastAsia="Times New Roman" w:hAnsi="Verdana"/>
          <w:sz w:val="22"/>
          <w:szCs w:val="22"/>
          <w:shd w:val="clear" w:color="auto" w:fill="FFFFFF"/>
          <w:lang w:eastAsia="en-GB"/>
        </w:rPr>
        <w:t xml:space="preserve"> </w:t>
      </w:r>
      <w:proofErr w:type="spellStart"/>
      <w:r w:rsidRPr="00563A43">
        <w:rPr>
          <w:rFonts w:ascii="Verdana" w:eastAsia="Times New Roman" w:hAnsi="Verdana"/>
          <w:sz w:val="22"/>
          <w:szCs w:val="22"/>
          <w:shd w:val="clear" w:color="auto" w:fill="FFFFFF"/>
          <w:lang w:eastAsia="en-GB"/>
        </w:rPr>
        <w:t>harmonisation</w:t>
      </w:r>
      <w:proofErr w:type="spellEnd"/>
      <w:r w:rsidRPr="00563A43">
        <w:rPr>
          <w:rFonts w:ascii="Verdana" w:eastAsia="Times New Roman" w:hAnsi="Verdana"/>
          <w:sz w:val="22"/>
          <w:szCs w:val="22"/>
          <w:shd w:val="clear" w:color="auto" w:fill="FFFFFF"/>
          <w:lang w:eastAsia="en-GB"/>
        </w:rPr>
        <w:t xml:space="preserve"> in health supplements across the region. AAHSA now</w:t>
      </w:r>
      <w:r w:rsidR="00563A43">
        <w:rPr>
          <w:rFonts w:ascii="Verdana" w:eastAsia="Times New Roman" w:hAnsi="Verdana"/>
          <w:sz w:val="22"/>
          <w:szCs w:val="22"/>
          <w:shd w:val="clear" w:color="auto" w:fill="FFFFFF"/>
          <w:lang w:eastAsia="en-GB"/>
        </w:rPr>
        <w:t xml:space="preserve"> </w:t>
      </w:r>
      <w:r w:rsidRPr="00563A43">
        <w:rPr>
          <w:rFonts w:ascii="Verdana" w:eastAsia="Times New Roman" w:hAnsi="Verdana"/>
          <w:sz w:val="22"/>
          <w:szCs w:val="22"/>
          <w:shd w:val="clear" w:color="auto" w:fill="FFFFFF"/>
          <w:lang w:eastAsia="en-GB"/>
        </w:rPr>
        <w:t xml:space="preserve">brings together seven national health supplement associations which work closely with their national authorities on legislation and collaborate together as AAHSA on regional issues. </w:t>
      </w:r>
    </w:p>
    <w:p w14:paraId="7FA60597" w14:textId="77777777" w:rsidR="00FF03FF" w:rsidRPr="00A0243B" w:rsidRDefault="00FF03FF" w:rsidP="007A7E89">
      <w:pPr>
        <w:rPr>
          <w:rFonts w:ascii="Verdana" w:eastAsia="Times New Roman" w:hAnsi="Verdana" w:cs="Times New Roman"/>
          <w:b/>
          <w:bCs/>
          <w:sz w:val="22"/>
          <w:szCs w:val="22"/>
          <w:lang w:val="en-GB"/>
        </w:rPr>
      </w:pPr>
    </w:p>
    <w:sectPr w:rsidR="00FF03FF" w:rsidRPr="00A0243B" w:rsidSect="00A25520">
      <w:footnotePr>
        <w:numFmt w:val="chicago"/>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F0C3" w14:textId="77777777" w:rsidR="00F10885" w:rsidRDefault="00F10885" w:rsidP="00162902">
      <w:r>
        <w:separator/>
      </w:r>
    </w:p>
  </w:endnote>
  <w:endnote w:type="continuationSeparator" w:id="0">
    <w:p w14:paraId="03910E89" w14:textId="77777777" w:rsidR="00F10885" w:rsidRDefault="00F10885" w:rsidP="0016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3D72" w14:textId="77777777" w:rsidR="00F10885" w:rsidRDefault="00F10885" w:rsidP="00162902">
      <w:r>
        <w:separator/>
      </w:r>
    </w:p>
  </w:footnote>
  <w:footnote w:type="continuationSeparator" w:id="0">
    <w:p w14:paraId="76D86220" w14:textId="77777777" w:rsidR="00F10885" w:rsidRDefault="00F10885" w:rsidP="00162902">
      <w:r>
        <w:continuationSeparator/>
      </w:r>
    </w:p>
  </w:footnote>
  <w:footnote w:id="1">
    <w:p w14:paraId="72674439" w14:textId="77777777" w:rsidR="00B8092F" w:rsidRPr="00EE5757" w:rsidRDefault="00B8092F" w:rsidP="00B8092F">
      <w:pPr>
        <w:autoSpaceDE w:val="0"/>
        <w:autoSpaceDN w:val="0"/>
        <w:adjustRightInd w:val="0"/>
        <w:rPr>
          <w:rFonts w:ascii="Verdana" w:hAnsi="Verdana" w:cs="Times New Roman"/>
          <w:i/>
          <w:iCs/>
          <w:color w:val="333F48"/>
          <w:sz w:val="14"/>
          <w:szCs w:val="14"/>
          <w:lang w:val="en-GB"/>
        </w:rPr>
      </w:pPr>
      <w:r>
        <w:rPr>
          <w:rStyle w:val="FootnoteReference"/>
        </w:rPr>
        <w:footnoteRef/>
      </w:r>
      <w:r w:rsidRPr="00EE5757">
        <w:rPr>
          <w:rFonts w:ascii="Verdana" w:hAnsi="Verdana" w:cs="Times New Roman"/>
          <w:i/>
          <w:iCs/>
          <w:color w:val="333F48"/>
          <w:sz w:val="14"/>
          <w:szCs w:val="14"/>
          <w:lang w:val="en-GB"/>
        </w:rPr>
        <w:t xml:space="preserve"> </w:t>
      </w:r>
      <w:hyperlink r:id="rId1" w:history="1">
        <w:r w:rsidRPr="00EE5757">
          <w:rPr>
            <w:rStyle w:val="Hyperlink"/>
            <w:rFonts w:ascii="Verdana" w:hAnsi="Verdana" w:cs="Times New Roman"/>
            <w:i/>
            <w:iCs/>
            <w:sz w:val="14"/>
            <w:szCs w:val="14"/>
            <w:lang w:val="en-GB"/>
          </w:rPr>
          <w:t>www.globenewswire.com/news-release/2020/01/21/1972700/0/en/ASEAN-Dietary-Supplements-Market-Size-to-Reach-USD-10-60-Billion-by-2026-Increasing-Health-Consciousness-among-the-Urban-Populace-to-Fuel-the-Market-Fortune-Business-Insights.html</w:t>
        </w:r>
      </w:hyperlink>
    </w:p>
    <w:p w14:paraId="7EB13F48" w14:textId="77777777" w:rsidR="00B8092F" w:rsidRPr="00162902" w:rsidRDefault="00B8092F" w:rsidP="00B8092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1A13"/>
    <w:multiLevelType w:val="multilevel"/>
    <w:tmpl w:val="25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6006"/>
    <w:multiLevelType w:val="hybridMultilevel"/>
    <w:tmpl w:val="10B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E9"/>
    <w:rsid w:val="0001004F"/>
    <w:rsid w:val="000323FB"/>
    <w:rsid w:val="00045FF6"/>
    <w:rsid w:val="0005238E"/>
    <w:rsid w:val="00055758"/>
    <w:rsid w:val="000A379F"/>
    <w:rsid w:val="000A4A4C"/>
    <w:rsid w:val="000F1A23"/>
    <w:rsid w:val="000F52D8"/>
    <w:rsid w:val="001166CA"/>
    <w:rsid w:val="00154B99"/>
    <w:rsid w:val="00162902"/>
    <w:rsid w:val="00171CCC"/>
    <w:rsid w:val="00182AFA"/>
    <w:rsid w:val="00196DD8"/>
    <w:rsid w:val="001E0ACA"/>
    <w:rsid w:val="001E5856"/>
    <w:rsid w:val="0021528C"/>
    <w:rsid w:val="00231C4A"/>
    <w:rsid w:val="00233FEA"/>
    <w:rsid w:val="00247816"/>
    <w:rsid w:val="002C44D8"/>
    <w:rsid w:val="002C7D7B"/>
    <w:rsid w:val="002E0947"/>
    <w:rsid w:val="002E2F86"/>
    <w:rsid w:val="002E504E"/>
    <w:rsid w:val="00301B2C"/>
    <w:rsid w:val="003046BF"/>
    <w:rsid w:val="0030471B"/>
    <w:rsid w:val="00347AC0"/>
    <w:rsid w:val="00363B84"/>
    <w:rsid w:val="0039409A"/>
    <w:rsid w:val="003B0C24"/>
    <w:rsid w:val="003C40A0"/>
    <w:rsid w:val="003D63DE"/>
    <w:rsid w:val="00425727"/>
    <w:rsid w:val="004314E5"/>
    <w:rsid w:val="00445D3E"/>
    <w:rsid w:val="004827C2"/>
    <w:rsid w:val="00485DB5"/>
    <w:rsid w:val="00492F49"/>
    <w:rsid w:val="004B787C"/>
    <w:rsid w:val="004D22BE"/>
    <w:rsid w:val="004E4367"/>
    <w:rsid w:val="00513740"/>
    <w:rsid w:val="005154BF"/>
    <w:rsid w:val="005210D4"/>
    <w:rsid w:val="00522975"/>
    <w:rsid w:val="00563A43"/>
    <w:rsid w:val="00566E18"/>
    <w:rsid w:val="005B4176"/>
    <w:rsid w:val="005D0CEE"/>
    <w:rsid w:val="005F5289"/>
    <w:rsid w:val="0061329C"/>
    <w:rsid w:val="00664D61"/>
    <w:rsid w:val="0066704A"/>
    <w:rsid w:val="00691DB2"/>
    <w:rsid w:val="006C10B8"/>
    <w:rsid w:val="00726ACB"/>
    <w:rsid w:val="007334CE"/>
    <w:rsid w:val="007457DD"/>
    <w:rsid w:val="00761E60"/>
    <w:rsid w:val="00787045"/>
    <w:rsid w:val="007972DC"/>
    <w:rsid w:val="007A243C"/>
    <w:rsid w:val="007A58F5"/>
    <w:rsid w:val="007A7E89"/>
    <w:rsid w:val="007B14A5"/>
    <w:rsid w:val="007B1A70"/>
    <w:rsid w:val="007B7846"/>
    <w:rsid w:val="0081097F"/>
    <w:rsid w:val="00812417"/>
    <w:rsid w:val="00816C4A"/>
    <w:rsid w:val="008219E0"/>
    <w:rsid w:val="0083758A"/>
    <w:rsid w:val="0084042D"/>
    <w:rsid w:val="008474FE"/>
    <w:rsid w:val="00865C3E"/>
    <w:rsid w:val="00892EB9"/>
    <w:rsid w:val="008C659A"/>
    <w:rsid w:val="008E69A5"/>
    <w:rsid w:val="008F2784"/>
    <w:rsid w:val="00917422"/>
    <w:rsid w:val="009547DE"/>
    <w:rsid w:val="00961622"/>
    <w:rsid w:val="009818B8"/>
    <w:rsid w:val="00983253"/>
    <w:rsid w:val="00991400"/>
    <w:rsid w:val="00995EB2"/>
    <w:rsid w:val="009A33DA"/>
    <w:rsid w:val="009A48FD"/>
    <w:rsid w:val="009B51FB"/>
    <w:rsid w:val="009C4E3D"/>
    <w:rsid w:val="009E10E9"/>
    <w:rsid w:val="009E2F09"/>
    <w:rsid w:val="009F4417"/>
    <w:rsid w:val="00A0243B"/>
    <w:rsid w:val="00A11509"/>
    <w:rsid w:val="00A25520"/>
    <w:rsid w:val="00A607EB"/>
    <w:rsid w:val="00A6231C"/>
    <w:rsid w:val="00A662C2"/>
    <w:rsid w:val="00AC2A17"/>
    <w:rsid w:val="00AC3879"/>
    <w:rsid w:val="00AC6D69"/>
    <w:rsid w:val="00AF2A0F"/>
    <w:rsid w:val="00AF47EE"/>
    <w:rsid w:val="00B00F4D"/>
    <w:rsid w:val="00B05AD7"/>
    <w:rsid w:val="00B1548C"/>
    <w:rsid w:val="00B16EDD"/>
    <w:rsid w:val="00B36CA3"/>
    <w:rsid w:val="00B453CE"/>
    <w:rsid w:val="00B465ED"/>
    <w:rsid w:val="00B8092F"/>
    <w:rsid w:val="00BA4165"/>
    <w:rsid w:val="00BB130A"/>
    <w:rsid w:val="00BB540D"/>
    <w:rsid w:val="00BB71C4"/>
    <w:rsid w:val="00BE3A62"/>
    <w:rsid w:val="00BE4266"/>
    <w:rsid w:val="00BE4BF4"/>
    <w:rsid w:val="00BE5D69"/>
    <w:rsid w:val="00BF48DE"/>
    <w:rsid w:val="00C07C27"/>
    <w:rsid w:val="00C3558A"/>
    <w:rsid w:val="00C357D0"/>
    <w:rsid w:val="00C37CE4"/>
    <w:rsid w:val="00C525A8"/>
    <w:rsid w:val="00C55A74"/>
    <w:rsid w:val="00CA7C8E"/>
    <w:rsid w:val="00CB259B"/>
    <w:rsid w:val="00CC4A22"/>
    <w:rsid w:val="00CD284A"/>
    <w:rsid w:val="00CD5FA3"/>
    <w:rsid w:val="00D14A1E"/>
    <w:rsid w:val="00D15AED"/>
    <w:rsid w:val="00D21871"/>
    <w:rsid w:val="00D32029"/>
    <w:rsid w:val="00D50B4D"/>
    <w:rsid w:val="00D607DE"/>
    <w:rsid w:val="00D84D91"/>
    <w:rsid w:val="00D87B22"/>
    <w:rsid w:val="00D94EED"/>
    <w:rsid w:val="00D953F2"/>
    <w:rsid w:val="00DD1819"/>
    <w:rsid w:val="00DD35A7"/>
    <w:rsid w:val="00E02B45"/>
    <w:rsid w:val="00E07C72"/>
    <w:rsid w:val="00E105EB"/>
    <w:rsid w:val="00E20382"/>
    <w:rsid w:val="00E2478F"/>
    <w:rsid w:val="00E425F0"/>
    <w:rsid w:val="00E6683D"/>
    <w:rsid w:val="00E8706C"/>
    <w:rsid w:val="00E96F49"/>
    <w:rsid w:val="00E97B44"/>
    <w:rsid w:val="00EE5757"/>
    <w:rsid w:val="00F03CB6"/>
    <w:rsid w:val="00F10885"/>
    <w:rsid w:val="00F43D9C"/>
    <w:rsid w:val="00F46245"/>
    <w:rsid w:val="00F57D9D"/>
    <w:rsid w:val="00FB1D38"/>
    <w:rsid w:val="00FB5639"/>
    <w:rsid w:val="00FC1DED"/>
    <w:rsid w:val="00FD0494"/>
    <w:rsid w:val="00FD2091"/>
    <w:rsid w:val="00FF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AE7C0"/>
  <w14:defaultImageDpi w14:val="300"/>
  <w15:docId w15:val="{CDB5A5B5-90BE-A940-84AE-3848544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17"/>
  </w:style>
  <w:style w:type="paragraph" w:styleId="Heading3">
    <w:name w:val="heading 3"/>
    <w:basedOn w:val="Normal"/>
    <w:link w:val="Heading3Char"/>
    <w:uiPriority w:val="9"/>
    <w:qFormat/>
    <w:rsid w:val="00C3558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58A"/>
    <w:rPr>
      <w:rFonts w:ascii="Times" w:hAnsi="Times"/>
      <w:b/>
      <w:bCs/>
      <w:sz w:val="27"/>
      <w:szCs w:val="27"/>
      <w:lang w:val="en-GB"/>
    </w:rPr>
  </w:style>
  <w:style w:type="paragraph" w:styleId="BalloonText">
    <w:name w:val="Balloon Text"/>
    <w:basedOn w:val="Normal"/>
    <w:link w:val="BalloonTextChar"/>
    <w:uiPriority w:val="99"/>
    <w:semiHidden/>
    <w:unhideWhenUsed/>
    <w:rsid w:val="00D14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1E"/>
    <w:rPr>
      <w:rFonts w:ascii="Lucida Grande" w:hAnsi="Lucida Grande" w:cs="Lucida Grande"/>
      <w:sz w:val="18"/>
      <w:szCs w:val="18"/>
    </w:rPr>
  </w:style>
  <w:style w:type="character" w:styleId="Hyperlink">
    <w:name w:val="Hyperlink"/>
    <w:uiPriority w:val="99"/>
    <w:semiHidden/>
    <w:rsid w:val="00995EB2"/>
    <w:rPr>
      <w:color w:val="0000FF"/>
      <w:u w:val="single"/>
    </w:rPr>
  </w:style>
  <w:style w:type="paragraph" w:styleId="NormalWeb">
    <w:name w:val="Normal (Web)"/>
    <w:basedOn w:val="Normal"/>
    <w:uiPriority w:val="99"/>
    <w:unhideWhenUsed/>
    <w:rsid w:val="00D50B4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50B4D"/>
  </w:style>
  <w:style w:type="paragraph" w:styleId="ListParagraph">
    <w:name w:val="List Paragraph"/>
    <w:basedOn w:val="Normal"/>
    <w:uiPriority w:val="34"/>
    <w:qFormat/>
    <w:rsid w:val="00D50B4D"/>
    <w:pPr>
      <w:ind w:left="720"/>
      <w:contextualSpacing/>
    </w:pPr>
  </w:style>
  <w:style w:type="character" w:customStyle="1" w:styleId="UnresolvedMention1">
    <w:name w:val="Unresolved Mention1"/>
    <w:basedOn w:val="DefaultParagraphFont"/>
    <w:uiPriority w:val="99"/>
    <w:semiHidden/>
    <w:unhideWhenUsed/>
    <w:rsid w:val="00816C4A"/>
    <w:rPr>
      <w:color w:val="605E5C"/>
      <w:shd w:val="clear" w:color="auto" w:fill="E1DFDD"/>
    </w:rPr>
  </w:style>
  <w:style w:type="character" w:styleId="FollowedHyperlink">
    <w:name w:val="FollowedHyperlink"/>
    <w:basedOn w:val="DefaultParagraphFont"/>
    <w:uiPriority w:val="99"/>
    <w:semiHidden/>
    <w:unhideWhenUsed/>
    <w:rsid w:val="00816C4A"/>
    <w:rPr>
      <w:color w:val="800080" w:themeColor="followedHyperlink"/>
      <w:u w:val="single"/>
    </w:rPr>
  </w:style>
  <w:style w:type="character" w:styleId="Strong">
    <w:name w:val="Strong"/>
    <w:basedOn w:val="DefaultParagraphFont"/>
    <w:uiPriority w:val="22"/>
    <w:qFormat/>
    <w:rsid w:val="00FF03FF"/>
    <w:rPr>
      <w:b/>
      <w:bCs/>
    </w:rPr>
  </w:style>
  <w:style w:type="paragraph" w:styleId="FootnoteText">
    <w:name w:val="footnote text"/>
    <w:basedOn w:val="Normal"/>
    <w:link w:val="FootnoteTextChar"/>
    <w:uiPriority w:val="99"/>
    <w:semiHidden/>
    <w:unhideWhenUsed/>
    <w:rsid w:val="00162902"/>
    <w:rPr>
      <w:sz w:val="20"/>
      <w:szCs w:val="20"/>
    </w:rPr>
  </w:style>
  <w:style w:type="character" w:customStyle="1" w:styleId="FootnoteTextChar">
    <w:name w:val="Footnote Text Char"/>
    <w:basedOn w:val="DefaultParagraphFont"/>
    <w:link w:val="FootnoteText"/>
    <w:uiPriority w:val="99"/>
    <w:semiHidden/>
    <w:rsid w:val="00162902"/>
    <w:rPr>
      <w:sz w:val="20"/>
      <w:szCs w:val="20"/>
    </w:rPr>
  </w:style>
  <w:style w:type="character" w:styleId="FootnoteReference">
    <w:name w:val="footnote reference"/>
    <w:basedOn w:val="DefaultParagraphFont"/>
    <w:uiPriority w:val="99"/>
    <w:semiHidden/>
    <w:unhideWhenUsed/>
    <w:rsid w:val="00162902"/>
    <w:rPr>
      <w:vertAlign w:val="superscript"/>
    </w:rPr>
  </w:style>
  <w:style w:type="character" w:styleId="CommentReference">
    <w:name w:val="annotation reference"/>
    <w:basedOn w:val="DefaultParagraphFont"/>
    <w:uiPriority w:val="99"/>
    <w:semiHidden/>
    <w:unhideWhenUsed/>
    <w:rsid w:val="00B05AD7"/>
    <w:rPr>
      <w:sz w:val="16"/>
      <w:szCs w:val="16"/>
    </w:rPr>
  </w:style>
  <w:style w:type="paragraph" w:styleId="CommentText">
    <w:name w:val="annotation text"/>
    <w:basedOn w:val="Normal"/>
    <w:link w:val="CommentTextChar"/>
    <w:uiPriority w:val="99"/>
    <w:semiHidden/>
    <w:unhideWhenUsed/>
    <w:rsid w:val="00B05AD7"/>
    <w:rPr>
      <w:sz w:val="20"/>
      <w:szCs w:val="20"/>
    </w:rPr>
  </w:style>
  <w:style w:type="character" w:customStyle="1" w:styleId="CommentTextChar">
    <w:name w:val="Comment Text Char"/>
    <w:basedOn w:val="DefaultParagraphFont"/>
    <w:link w:val="CommentText"/>
    <w:uiPriority w:val="99"/>
    <w:semiHidden/>
    <w:rsid w:val="00B05AD7"/>
    <w:rPr>
      <w:sz w:val="20"/>
      <w:szCs w:val="20"/>
    </w:rPr>
  </w:style>
  <w:style w:type="paragraph" w:styleId="CommentSubject">
    <w:name w:val="annotation subject"/>
    <w:basedOn w:val="CommentText"/>
    <w:next w:val="CommentText"/>
    <w:link w:val="CommentSubjectChar"/>
    <w:uiPriority w:val="99"/>
    <w:semiHidden/>
    <w:unhideWhenUsed/>
    <w:rsid w:val="00B05AD7"/>
    <w:rPr>
      <w:b/>
      <w:bCs/>
    </w:rPr>
  </w:style>
  <w:style w:type="character" w:customStyle="1" w:styleId="CommentSubjectChar">
    <w:name w:val="Comment Subject Char"/>
    <w:basedOn w:val="CommentTextChar"/>
    <w:link w:val="CommentSubject"/>
    <w:uiPriority w:val="99"/>
    <w:semiHidden/>
    <w:rsid w:val="00B05AD7"/>
    <w:rPr>
      <w:b/>
      <w:bCs/>
      <w:sz w:val="20"/>
      <w:szCs w:val="20"/>
    </w:rPr>
  </w:style>
  <w:style w:type="paragraph" w:styleId="Revision">
    <w:name w:val="Revision"/>
    <w:hidden/>
    <w:uiPriority w:val="99"/>
    <w:semiHidden/>
    <w:rsid w:val="00B0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2216">
      <w:bodyDiv w:val="1"/>
      <w:marLeft w:val="0"/>
      <w:marRight w:val="0"/>
      <w:marTop w:val="0"/>
      <w:marBottom w:val="0"/>
      <w:divBdr>
        <w:top w:val="none" w:sz="0" w:space="0" w:color="auto"/>
        <w:left w:val="none" w:sz="0" w:space="0" w:color="auto"/>
        <w:bottom w:val="none" w:sz="0" w:space="0" w:color="auto"/>
        <w:right w:val="none" w:sz="0" w:space="0" w:color="auto"/>
      </w:divBdr>
    </w:div>
    <w:div w:id="451480436">
      <w:bodyDiv w:val="1"/>
      <w:marLeft w:val="0"/>
      <w:marRight w:val="0"/>
      <w:marTop w:val="0"/>
      <w:marBottom w:val="0"/>
      <w:divBdr>
        <w:top w:val="none" w:sz="0" w:space="0" w:color="auto"/>
        <w:left w:val="none" w:sz="0" w:space="0" w:color="auto"/>
        <w:bottom w:val="none" w:sz="0" w:space="0" w:color="auto"/>
        <w:right w:val="none" w:sz="0" w:space="0" w:color="auto"/>
      </w:divBdr>
    </w:div>
    <w:div w:id="648629480">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42534627">
      <w:bodyDiv w:val="1"/>
      <w:marLeft w:val="0"/>
      <w:marRight w:val="0"/>
      <w:marTop w:val="0"/>
      <w:marBottom w:val="0"/>
      <w:divBdr>
        <w:top w:val="none" w:sz="0" w:space="0" w:color="auto"/>
        <w:left w:val="none" w:sz="0" w:space="0" w:color="auto"/>
        <w:bottom w:val="none" w:sz="0" w:space="0" w:color="auto"/>
        <w:right w:val="none" w:sz="0" w:space="0" w:color="auto"/>
      </w:divBdr>
    </w:div>
    <w:div w:id="843978697">
      <w:bodyDiv w:val="1"/>
      <w:marLeft w:val="0"/>
      <w:marRight w:val="0"/>
      <w:marTop w:val="0"/>
      <w:marBottom w:val="0"/>
      <w:divBdr>
        <w:top w:val="none" w:sz="0" w:space="0" w:color="auto"/>
        <w:left w:val="none" w:sz="0" w:space="0" w:color="auto"/>
        <w:bottom w:val="none" w:sz="0" w:space="0" w:color="auto"/>
        <w:right w:val="none" w:sz="0" w:space="0" w:color="auto"/>
      </w:divBdr>
    </w:div>
    <w:div w:id="1051539812">
      <w:bodyDiv w:val="1"/>
      <w:marLeft w:val="0"/>
      <w:marRight w:val="0"/>
      <w:marTop w:val="0"/>
      <w:marBottom w:val="0"/>
      <w:divBdr>
        <w:top w:val="none" w:sz="0" w:space="0" w:color="auto"/>
        <w:left w:val="none" w:sz="0" w:space="0" w:color="auto"/>
        <w:bottom w:val="none" w:sz="0" w:space="0" w:color="auto"/>
        <w:right w:val="none" w:sz="0" w:space="0" w:color="auto"/>
      </w:divBdr>
    </w:div>
    <w:div w:id="1161001477">
      <w:bodyDiv w:val="1"/>
      <w:marLeft w:val="0"/>
      <w:marRight w:val="0"/>
      <w:marTop w:val="0"/>
      <w:marBottom w:val="0"/>
      <w:divBdr>
        <w:top w:val="none" w:sz="0" w:space="0" w:color="auto"/>
        <w:left w:val="none" w:sz="0" w:space="0" w:color="auto"/>
        <w:bottom w:val="none" w:sz="0" w:space="0" w:color="auto"/>
        <w:right w:val="none" w:sz="0" w:space="0" w:color="auto"/>
      </w:divBdr>
    </w:div>
    <w:div w:id="1465077872">
      <w:bodyDiv w:val="1"/>
      <w:marLeft w:val="0"/>
      <w:marRight w:val="0"/>
      <w:marTop w:val="0"/>
      <w:marBottom w:val="0"/>
      <w:divBdr>
        <w:top w:val="none" w:sz="0" w:space="0" w:color="auto"/>
        <w:left w:val="none" w:sz="0" w:space="0" w:color="auto"/>
        <w:bottom w:val="none" w:sz="0" w:space="0" w:color="auto"/>
        <w:right w:val="none" w:sz="0" w:space="0" w:color="auto"/>
      </w:divBdr>
    </w:div>
    <w:div w:id="1522663525">
      <w:bodyDiv w:val="1"/>
      <w:marLeft w:val="0"/>
      <w:marRight w:val="0"/>
      <w:marTop w:val="0"/>
      <w:marBottom w:val="0"/>
      <w:divBdr>
        <w:top w:val="none" w:sz="0" w:space="0" w:color="auto"/>
        <w:left w:val="none" w:sz="0" w:space="0" w:color="auto"/>
        <w:bottom w:val="none" w:sz="0" w:space="0" w:color="auto"/>
        <w:right w:val="none" w:sz="0" w:space="0" w:color="auto"/>
      </w:divBdr>
    </w:div>
    <w:div w:id="1525360240">
      <w:bodyDiv w:val="1"/>
      <w:marLeft w:val="0"/>
      <w:marRight w:val="0"/>
      <w:marTop w:val="0"/>
      <w:marBottom w:val="0"/>
      <w:divBdr>
        <w:top w:val="none" w:sz="0" w:space="0" w:color="auto"/>
        <w:left w:val="none" w:sz="0" w:space="0" w:color="auto"/>
        <w:bottom w:val="none" w:sz="0" w:space="0" w:color="auto"/>
        <w:right w:val="none" w:sz="0" w:space="0" w:color="auto"/>
      </w:divBdr>
    </w:div>
    <w:div w:id="1609695490">
      <w:bodyDiv w:val="1"/>
      <w:marLeft w:val="0"/>
      <w:marRight w:val="0"/>
      <w:marTop w:val="0"/>
      <w:marBottom w:val="0"/>
      <w:divBdr>
        <w:top w:val="none" w:sz="0" w:space="0" w:color="auto"/>
        <w:left w:val="none" w:sz="0" w:space="0" w:color="auto"/>
        <w:bottom w:val="none" w:sz="0" w:space="0" w:color="auto"/>
        <w:right w:val="none" w:sz="0" w:space="0" w:color="auto"/>
      </w:divBdr>
    </w:div>
    <w:div w:id="1697384000">
      <w:bodyDiv w:val="1"/>
      <w:marLeft w:val="0"/>
      <w:marRight w:val="0"/>
      <w:marTop w:val="0"/>
      <w:marBottom w:val="0"/>
      <w:divBdr>
        <w:top w:val="none" w:sz="0" w:space="0" w:color="auto"/>
        <w:left w:val="none" w:sz="0" w:space="0" w:color="auto"/>
        <w:bottom w:val="none" w:sz="0" w:space="0" w:color="auto"/>
        <w:right w:val="none" w:sz="0" w:space="0" w:color="auto"/>
      </w:divBdr>
    </w:div>
    <w:div w:id="1818263106">
      <w:bodyDiv w:val="1"/>
      <w:marLeft w:val="0"/>
      <w:marRight w:val="0"/>
      <w:marTop w:val="0"/>
      <w:marBottom w:val="0"/>
      <w:divBdr>
        <w:top w:val="none" w:sz="0" w:space="0" w:color="auto"/>
        <w:left w:val="none" w:sz="0" w:space="0" w:color="auto"/>
        <w:bottom w:val="none" w:sz="0" w:space="0" w:color="auto"/>
        <w:right w:val="none" w:sz="0" w:space="0" w:color="auto"/>
      </w:divBdr>
    </w:div>
    <w:div w:id="1867789868">
      <w:bodyDiv w:val="1"/>
      <w:marLeft w:val="0"/>
      <w:marRight w:val="0"/>
      <w:marTop w:val="0"/>
      <w:marBottom w:val="0"/>
      <w:divBdr>
        <w:top w:val="none" w:sz="0" w:space="0" w:color="auto"/>
        <w:left w:val="none" w:sz="0" w:space="0" w:color="auto"/>
        <w:bottom w:val="none" w:sz="0" w:space="0" w:color="auto"/>
        <w:right w:val="none" w:sz="0" w:space="0" w:color="auto"/>
      </w:divBdr>
    </w:div>
    <w:div w:id="190009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chard@ingredientcommunications.com" TargetMode="External"/><Relationship Id="rId4" Type="http://schemas.openxmlformats.org/officeDocument/2006/relationships/webSettings" Target="webSettings.xml"/><Relationship Id="rId9" Type="http://schemas.openxmlformats.org/officeDocument/2006/relationships/hyperlink" Target="https://asea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obenewswire.com/news-release/2020/01/21/1972700/0/en/ASEAN-Dietary-Supplements-Market-Size-to-Reach-USD-10-60-Billion-by-2026-Increasing-Health-Consciousness-among-the-Urban-Populace-to-Fuel-the-Market-Fortune-Business-Ins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5126</Characters>
  <Application>Microsoft Office Word</Application>
  <DocSecurity>0</DocSecurity>
  <Lines>244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10</cp:revision>
  <cp:lastPrinted>2020-11-30T12:08:00Z</cp:lastPrinted>
  <dcterms:created xsi:type="dcterms:W3CDTF">2020-11-30T13:03:00Z</dcterms:created>
  <dcterms:modified xsi:type="dcterms:W3CDTF">2020-11-30T13:59:00Z</dcterms:modified>
</cp:coreProperties>
</file>